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70415" w14:textId="59D04C2D" w:rsidR="00194513" w:rsidRPr="00194513" w:rsidRDefault="00194513" w:rsidP="00194513">
      <w:pPr>
        <w:pStyle w:val="Telobesedila"/>
        <w:ind w:left="1134" w:right="1134"/>
        <w:jc w:val="center"/>
        <w:rPr>
          <w:rFonts w:ascii="Times New Roman"/>
          <w:b/>
          <w:bCs/>
          <w:sz w:val="28"/>
          <w:szCs w:val="28"/>
        </w:rPr>
      </w:pPr>
      <w:r w:rsidRPr="00194513">
        <w:rPr>
          <w:b/>
          <w:bCs/>
          <w:sz w:val="28"/>
          <w:szCs w:val="28"/>
        </w:rPr>
        <w:t>Povzetek spremembe po posameznih členih Uredbe o spremembah in dopolnitvah Uredbe o programih storitev obveznega zdravstvenega zavarovanja, zmogljivostih, potrebnih za njegovo izvajanje, in obsegu sredstev za leto 2024, sprejeta junija 2024</w:t>
      </w:r>
    </w:p>
    <w:p w14:paraId="5B4F01FE" w14:textId="75C44D7A" w:rsidR="00194513" w:rsidRPr="00194513" w:rsidRDefault="00194513" w:rsidP="00194513">
      <w:pPr>
        <w:adjustRightInd w:val="0"/>
        <w:jc w:val="both"/>
        <w:rPr>
          <w:b/>
          <w:bCs/>
          <w:sz w:val="28"/>
          <w:szCs w:val="28"/>
        </w:rPr>
      </w:pPr>
    </w:p>
    <w:p w14:paraId="010C635D" w14:textId="77777777" w:rsidR="00194513" w:rsidRDefault="00194513" w:rsidP="00194513">
      <w:pPr>
        <w:adjustRightInd w:val="0"/>
        <w:jc w:val="both"/>
      </w:pPr>
    </w:p>
    <w:p w14:paraId="534CA473" w14:textId="77777777" w:rsidR="00194513" w:rsidRPr="009B04E9" w:rsidRDefault="00194513" w:rsidP="00194513">
      <w:pPr>
        <w:pStyle w:val="Telobesedila"/>
        <w:ind w:right="1134"/>
      </w:pPr>
      <w:r w:rsidRPr="009B04E9">
        <w:t>1. člen</w:t>
      </w:r>
    </w:p>
    <w:p w14:paraId="3E4DBC6D" w14:textId="372B1096" w:rsidR="00194513" w:rsidRPr="009B04E9" w:rsidRDefault="00194513" w:rsidP="00194513">
      <w:pPr>
        <w:pStyle w:val="Telobesedila"/>
        <w:ind w:right="1134"/>
      </w:pPr>
      <w:r w:rsidRPr="009B04E9">
        <w:t>Širi se programa družinske obravnave za zdrav življenjski slog v dodatnih enajstih zdravstvenih domovih</w:t>
      </w:r>
      <w:r w:rsidR="0055402F">
        <w:t>:</w:t>
      </w:r>
      <w:r w:rsidRPr="009B04E9">
        <w:t xml:space="preserve"> ZD Metlika, ZD Slovenj Gradec, ZD Dravograd, ZD Kočevje, ZD Vrhnika, ZD Ptuj, ZD Krško, OZG (ZD Radovljica), ZD Ribnica, ZD Trbovlje, ZD Radlje ob Dravi. </w:t>
      </w:r>
    </w:p>
    <w:p w14:paraId="47426F13" w14:textId="77777777" w:rsidR="00194513" w:rsidRPr="009B04E9" w:rsidRDefault="00194513" w:rsidP="00194513">
      <w:pPr>
        <w:pStyle w:val="Telobesedila"/>
        <w:ind w:right="1134"/>
      </w:pPr>
    </w:p>
    <w:p w14:paraId="5AABFEB2" w14:textId="77777777" w:rsidR="00194513" w:rsidRPr="009B04E9" w:rsidRDefault="00194513" w:rsidP="00194513">
      <w:pPr>
        <w:pStyle w:val="Telobesedila"/>
        <w:ind w:right="1134"/>
      </w:pPr>
      <w:r w:rsidRPr="009B04E9">
        <w:t>2. člen</w:t>
      </w:r>
    </w:p>
    <w:p w14:paraId="1356E7DB" w14:textId="35BA8043" w:rsidR="00194513" w:rsidRPr="009B04E9" w:rsidRDefault="00194513" w:rsidP="00194513">
      <w:pPr>
        <w:pStyle w:val="Telobesedila"/>
        <w:ind w:right="1134"/>
      </w:pPr>
      <w:r w:rsidRPr="009B04E9">
        <w:t xml:space="preserve">Črtajo </w:t>
      </w:r>
      <w:r w:rsidR="00C17E9E">
        <w:t xml:space="preserve">se </w:t>
      </w:r>
      <w:r w:rsidRPr="009B04E9">
        <w:t xml:space="preserve">začasni ukrepi zaradi poplav in zemeljskih plazov, ki sedaj niso več potrebni. </w:t>
      </w:r>
    </w:p>
    <w:p w14:paraId="08097356" w14:textId="77777777" w:rsidR="00194513" w:rsidRPr="009B04E9" w:rsidRDefault="00194513" w:rsidP="00194513">
      <w:pPr>
        <w:pStyle w:val="Telobesedila"/>
        <w:ind w:right="1134"/>
      </w:pPr>
    </w:p>
    <w:p w14:paraId="6D9A5540" w14:textId="77777777" w:rsidR="00194513" w:rsidRPr="009B04E9" w:rsidRDefault="00194513" w:rsidP="00194513">
      <w:pPr>
        <w:pStyle w:val="Telobesedila"/>
        <w:ind w:right="1134"/>
      </w:pPr>
      <w:r w:rsidRPr="009B04E9">
        <w:t>3. člen</w:t>
      </w:r>
    </w:p>
    <w:p w14:paraId="54C55C21" w14:textId="77777777" w:rsidR="00194513" w:rsidRPr="009B04E9" w:rsidRDefault="00194513" w:rsidP="00194513">
      <w:pPr>
        <w:pStyle w:val="Telobesedila"/>
        <w:ind w:right="1134"/>
      </w:pPr>
      <w:r w:rsidRPr="009B04E9">
        <w:t xml:space="preserve">S spremembo 42. člena Uredbe se načrtovanje zobozdravstvene dejavnosti za odrasle izenači za vse izvajalce, tako da vsi izvajalci v zobozdravstveni dejavnosti za odrasle, vključno z UKC Ljubljana in Srednja šola za farmacijo, kozmetiko in zdravstvo Ljubljana, načrtujejo 40 % programa za nego in 60 % programa za protetiko.  Do leta 2024 je bil za izvajalca UKC Ljubljana in predviden drugačen način načrtovanja obsega programa, saj je bil pri ostalih izvajalcih program odvisen tudi od števila opredeljenih zavarovanih oseb, pri navedenih dveh izvajalcih pa se to ni upoštevalo. S spremembo v letu 2024, ko program ni več odvisen od števila opredeljenih oseb, ni več razloga, da bi se za navedena dva izvajalca program načrtoval drugače, kot za ostale izvajalce. </w:t>
      </w:r>
    </w:p>
    <w:p w14:paraId="326C3CC6" w14:textId="77777777" w:rsidR="00194513" w:rsidRPr="009B04E9" w:rsidRDefault="00194513" w:rsidP="00194513">
      <w:pPr>
        <w:pStyle w:val="Telobesedila"/>
        <w:ind w:right="1134"/>
      </w:pPr>
    </w:p>
    <w:p w14:paraId="7D644926" w14:textId="77777777" w:rsidR="00194513" w:rsidRPr="009B04E9" w:rsidRDefault="00194513" w:rsidP="00194513">
      <w:pPr>
        <w:pStyle w:val="Telobesedila"/>
        <w:ind w:right="1134"/>
      </w:pPr>
      <w:r w:rsidRPr="009B04E9">
        <w:t>4. člen</w:t>
      </w:r>
    </w:p>
    <w:p w14:paraId="0B57331D" w14:textId="77777777" w:rsidR="00194513" w:rsidRPr="009B04E9" w:rsidRDefault="00194513" w:rsidP="00194513">
      <w:pPr>
        <w:pStyle w:val="Telobesedila"/>
        <w:ind w:right="1134"/>
      </w:pPr>
      <w:r w:rsidRPr="009B04E9">
        <w:t>S členom se dodaja nov 52.a člen, ki določa, da izvajalci, ki imajo z ZZZS v  pogodbenem letu 2024 dogovorjen program samo za EMG ali nevrofiziologijo z EEG in EMG, ne planirajo celotnih ali subspecialističnih pregledov. Taki izvajalci lahko obračunajo Zavodu v okviru seznama storitev za nevrologijo samo storitve EMG in EEG.</w:t>
      </w:r>
    </w:p>
    <w:p w14:paraId="2B50A033" w14:textId="77777777" w:rsidR="00194513" w:rsidRPr="009B04E9" w:rsidRDefault="00194513" w:rsidP="00194513">
      <w:pPr>
        <w:pStyle w:val="Telobesedila"/>
        <w:ind w:right="1134"/>
      </w:pPr>
    </w:p>
    <w:p w14:paraId="4F1E9500" w14:textId="77777777" w:rsidR="00194513" w:rsidRPr="009B04E9" w:rsidRDefault="00194513" w:rsidP="00194513">
      <w:pPr>
        <w:pStyle w:val="Telobesedila"/>
        <w:ind w:right="1134"/>
      </w:pPr>
      <w:r w:rsidRPr="009B04E9">
        <w:t>5. člen</w:t>
      </w:r>
    </w:p>
    <w:p w14:paraId="6346FDFC" w14:textId="25FAE7C1" w:rsidR="00194513" w:rsidRPr="009B04E9" w:rsidRDefault="00194513" w:rsidP="00194513">
      <w:pPr>
        <w:pStyle w:val="Telobesedila"/>
        <w:ind w:right="1134"/>
      </w:pPr>
      <w:r w:rsidRPr="009B04E9">
        <w:t xml:space="preserve">V 83. členu Uredbe se dodaja nov sedmi odstavek, ki socialnovarstveno varstvenim zavodom opredeli dodatna sredstva za sodobne obloge za oskrbo kronične rane v višini 40 EUR na posteljo letno. S tem </w:t>
      </w:r>
      <w:r w:rsidR="00DD6FB4">
        <w:t>j</w:t>
      </w:r>
      <w:r w:rsidR="00E11F92">
        <w:t>e</w:t>
      </w:r>
      <w:r w:rsidRPr="009B04E9">
        <w:t xml:space="preserve"> jasno določ</w:t>
      </w:r>
      <w:r w:rsidR="00E11F92">
        <w:t>eno</w:t>
      </w:r>
      <w:r w:rsidRPr="009B04E9">
        <w:t>, da so stroški sodobnih oblog v SVZ njihov strošek in ne strošek splošnega zdravnika v SVZ.</w:t>
      </w:r>
    </w:p>
    <w:p w14:paraId="358A9659" w14:textId="77777777" w:rsidR="00194513" w:rsidRPr="009B04E9" w:rsidRDefault="00194513" w:rsidP="00194513">
      <w:pPr>
        <w:pStyle w:val="Telobesedila"/>
        <w:ind w:right="1134"/>
      </w:pPr>
    </w:p>
    <w:p w14:paraId="20B69A18" w14:textId="77777777" w:rsidR="00194513" w:rsidRPr="009B04E9" w:rsidRDefault="00194513" w:rsidP="00194513">
      <w:pPr>
        <w:pStyle w:val="Telobesedila"/>
        <w:ind w:right="1134"/>
      </w:pPr>
      <w:r w:rsidRPr="009B04E9">
        <w:t>6. člen</w:t>
      </w:r>
    </w:p>
    <w:p w14:paraId="18424251" w14:textId="77777777" w:rsidR="00194513" w:rsidRPr="009B04E9" w:rsidRDefault="00194513" w:rsidP="00194513">
      <w:pPr>
        <w:pStyle w:val="Telobesedila"/>
        <w:ind w:right="1134"/>
      </w:pPr>
      <w:r w:rsidRPr="009B04E9">
        <w:t xml:space="preserve">Priprava zdravila Lutecij za zdravljenje nevroendokrinih tumorjev v UKC Ljubljana se uvrsti na seznam ločeno zaračunljivih materialov. </w:t>
      </w:r>
    </w:p>
    <w:p w14:paraId="40F6EEB9" w14:textId="77777777" w:rsidR="00194513" w:rsidRPr="009B04E9" w:rsidRDefault="00194513" w:rsidP="00194513">
      <w:pPr>
        <w:pStyle w:val="Telobesedila"/>
        <w:ind w:right="1134"/>
      </w:pPr>
    </w:p>
    <w:p w14:paraId="5C310C1E" w14:textId="77777777" w:rsidR="00194513" w:rsidRPr="009B04E9" w:rsidRDefault="00194513" w:rsidP="00194513">
      <w:pPr>
        <w:pStyle w:val="Telobesedila"/>
        <w:ind w:right="1134"/>
      </w:pPr>
      <w:r w:rsidRPr="009B04E9">
        <w:t xml:space="preserve">7. člen </w:t>
      </w:r>
    </w:p>
    <w:p w14:paraId="60AABDBA" w14:textId="56F18336" w:rsidR="00194513" w:rsidRPr="009B04E9" w:rsidRDefault="00A6374E" w:rsidP="00194513">
      <w:pPr>
        <w:pStyle w:val="Telobesedila"/>
        <w:ind w:right="1134"/>
      </w:pPr>
      <w:r>
        <w:t>Z</w:t>
      </w:r>
      <w:r w:rsidR="00194513" w:rsidRPr="009B04E9">
        <w:t xml:space="preserve">agotavljajo </w:t>
      </w:r>
      <w:r>
        <w:t xml:space="preserve">se </w:t>
      </w:r>
      <w:r w:rsidR="00194513" w:rsidRPr="009B04E9">
        <w:t>dodatna sredstva za:</w:t>
      </w:r>
    </w:p>
    <w:p w14:paraId="113D78D1" w14:textId="77777777" w:rsidR="00194513" w:rsidRPr="009B04E9" w:rsidRDefault="00194513" w:rsidP="00194513">
      <w:pPr>
        <w:pStyle w:val="Telobesedila"/>
        <w:ind w:right="1134"/>
      </w:pPr>
    </w:p>
    <w:tbl>
      <w:tblPr>
        <w:tblW w:w="9210" w:type="dxa"/>
        <w:tblLayout w:type="fixed"/>
        <w:tblCellMar>
          <w:left w:w="70" w:type="dxa"/>
          <w:right w:w="70" w:type="dxa"/>
        </w:tblCellMar>
        <w:tblLook w:val="04A0" w:firstRow="1" w:lastRow="0" w:firstColumn="1" w:lastColumn="0" w:noHBand="0" w:noVBand="1"/>
      </w:tblPr>
      <w:tblGrid>
        <w:gridCol w:w="563"/>
        <w:gridCol w:w="1843"/>
        <w:gridCol w:w="2268"/>
        <w:gridCol w:w="1418"/>
        <w:gridCol w:w="1559"/>
        <w:gridCol w:w="1559"/>
      </w:tblGrid>
      <w:tr w:rsidR="00426ACC" w:rsidRPr="00426ACC" w14:paraId="6AFDC77F" w14:textId="77777777" w:rsidTr="002E5A0E">
        <w:trPr>
          <w:trHeight w:val="750"/>
        </w:trPr>
        <w:tc>
          <w:tcPr>
            <w:tcW w:w="562" w:type="dxa"/>
            <w:tcBorders>
              <w:top w:val="single" w:sz="4" w:space="0" w:color="auto"/>
              <w:left w:val="single" w:sz="4" w:space="0" w:color="auto"/>
              <w:bottom w:val="single" w:sz="4" w:space="0" w:color="auto"/>
              <w:right w:val="single" w:sz="4" w:space="0" w:color="auto"/>
            </w:tcBorders>
            <w:vAlign w:val="center"/>
            <w:hideMark/>
          </w:tcPr>
          <w:p w14:paraId="14B9E10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14</w:t>
            </w:r>
          </w:p>
        </w:tc>
        <w:tc>
          <w:tcPr>
            <w:tcW w:w="1843" w:type="dxa"/>
            <w:tcBorders>
              <w:top w:val="single" w:sz="4" w:space="0" w:color="auto"/>
              <w:left w:val="nil"/>
              <w:bottom w:val="single" w:sz="4" w:space="0" w:color="auto"/>
              <w:right w:val="single" w:sz="4" w:space="0" w:color="auto"/>
            </w:tcBorders>
            <w:vAlign w:val="center"/>
            <w:hideMark/>
          </w:tcPr>
          <w:p w14:paraId="39FBBADD"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 xml:space="preserve">Priprava zdravila Lutecij </w:t>
            </w:r>
          </w:p>
        </w:tc>
        <w:tc>
          <w:tcPr>
            <w:tcW w:w="2268" w:type="dxa"/>
            <w:tcBorders>
              <w:top w:val="single" w:sz="4" w:space="0" w:color="auto"/>
              <w:left w:val="nil"/>
              <w:bottom w:val="single" w:sz="4" w:space="0" w:color="auto"/>
              <w:right w:val="single" w:sz="4" w:space="0" w:color="auto"/>
            </w:tcBorders>
            <w:vAlign w:val="center"/>
            <w:hideMark/>
          </w:tcPr>
          <w:p w14:paraId="093C95E4"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UKC Ljubljana</w:t>
            </w:r>
          </w:p>
        </w:tc>
        <w:tc>
          <w:tcPr>
            <w:tcW w:w="1418" w:type="dxa"/>
            <w:tcBorders>
              <w:top w:val="single" w:sz="4" w:space="0" w:color="auto"/>
              <w:left w:val="nil"/>
              <w:bottom w:val="single" w:sz="4" w:space="0" w:color="auto"/>
              <w:right w:val="single" w:sz="4" w:space="0" w:color="auto"/>
            </w:tcBorders>
            <w:vAlign w:val="center"/>
            <w:hideMark/>
          </w:tcPr>
          <w:p w14:paraId="744F0AFD"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 </w:t>
            </w:r>
          </w:p>
        </w:tc>
        <w:tc>
          <w:tcPr>
            <w:tcW w:w="1559" w:type="dxa"/>
            <w:tcBorders>
              <w:top w:val="single" w:sz="4" w:space="0" w:color="auto"/>
              <w:left w:val="nil"/>
              <w:bottom w:val="single" w:sz="4" w:space="0" w:color="auto"/>
              <w:right w:val="single" w:sz="4" w:space="0" w:color="auto"/>
            </w:tcBorders>
            <w:vAlign w:val="center"/>
            <w:hideMark/>
          </w:tcPr>
          <w:p w14:paraId="176590D6"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2.001.726,00</w:t>
            </w:r>
          </w:p>
        </w:tc>
        <w:tc>
          <w:tcPr>
            <w:tcW w:w="1559" w:type="dxa"/>
            <w:tcBorders>
              <w:top w:val="single" w:sz="4" w:space="0" w:color="auto"/>
              <w:left w:val="nil"/>
              <w:bottom w:val="single" w:sz="4" w:space="0" w:color="auto"/>
              <w:right w:val="single" w:sz="4" w:space="0" w:color="auto"/>
            </w:tcBorders>
            <w:vAlign w:val="center"/>
            <w:hideMark/>
          </w:tcPr>
          <w:p w14:paraId="2E721E36"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1.000.863,00</w:t>
            </w:r>
          </w:p>
        </w:tc>
      </w:tr>
      <w:tr w:rsidR="00426ACC" w:rsidRPr="00426ACC" w14:paraId="421B574A" w14:textId="77777777" w:rsidTr="002E5A0E">
        <w:trPr>
          <w:trHeight w:val="853"/>
        </w:trPr>
        <w:tc>
          <w:tcPr>
            <w:tcW w:w="562" w:type="dxa"/>
            <w:tcBorders>
              <w:top w:val="nil"/>
              <w:left w:val="single" w:sz="4" w:space="0" w:color="auto"/>
              <w:bottom w:val="single" w:sz="4" w:space="0" w:color="auto"/>
              <w:right w:val="single" w:sz="4" w:space="0" w:color="auto"/>
            </w:tcBorders>
            <w:vAlign w:val="center"/>
            <w:hideMark/>
          </w:tcPr>
          <w:p w14:paraId="24DB30B9"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15</w:t>
            </w:r>
          </w:p>
        </w:tc>
        <w:tc>
          <w:tcPr>
            <w:tcW w:w="1843" w:type="dxa"/>
            <w:tcBorders>
              <w:top w:val="nil"/>
              <w:left w:val="nil"/>
              <w:bottom w:val="single" w:sz="4" w:space="0" w:color="auto"/>
              <w:right w:val="single" w:sz="4" w:space="0" w:color="auto"/>
            </w:tcBorders>
            <w:vAlign w:val="center"/>
            <w:hideMark/>
          </w:tcPr>
          <w:p w14:paraId="07E8FE1B"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Sredstva za sodobne obloge za rane</w:t>
            </w:r>
          </w:p>
        </w:tc>
        <w:tc>
          <w:tcPr>
            <w:tcW w:w="2268" w:type="dxa"/>
            <w:tcBorders>
              <w:top w:val="nil"/>
              <w:left w:val="nil"/>
              <w:bottom w:val="single" w:sz="4" w:space="0" w:color="auto"/>
              <w:right w:val="single" w:sz="4" w:space="0" w:color="auto"/>
            </w:tcBorders>
            <w:vAlign w:val="center"/>
            <w:hideMark/>
          </w:tcPr>
          <w:p w14:paraId="1068FD92"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Socialnovarstveni zavodi</w:t>
            </w:r>
          </w:p>
        </w:tc>
        <w:tc>
          <w:tcPr>
            <w:tcW w:w="1418" w:type="dxa"/>
            <w:tcBorders>
              <w:top w:val="nil"/>
              <w:left w:val="nil"/>
              <w:bottom w:val="single" w:sz="4" w:space="0" w:color="auto"/>
              <w:right w:val="single" w:sz="4" w:space="0" w:color="auto"/>
            </w:tcBorders>
            <w:vAlign w:val="center"/>
            <w:hideMark/>
          </w:tcPr>
          <w:p w14:paraId="26D48084"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 </w:t>
            </w:r>
          </w:p>
        </w:tc>
        <w:tc>
          <w:tcPr>
            <w:tcW w:w="1559" w:type="dxa"/>
            <w:tcBorders>
              <w:top w:val="nil"/>
              <w:left w:val="nil"/>
              <w:bottom w:val="single" w:sz="4" w:space="0" w:color="auto"/>
              <w:right w:val="single" w:sz="4" w:space="0" w:color="auto"/>
            </w:tcBorders>
            <w:vAlign w:val="center"/>
            <w:hideMark/>
          </w:tcPr>
          <w:p w14:paraId="4152FD74"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1.000.000,00</w:t>
            </w:r>
          </w:p>
        </w:tc>
        <w:tc>
          <w:tcPr>
            <w:tcW w:w="1559" w:type="dxa"/>
            <w:tcBorders>
              <w:top w:val="nil"/>
              <w:left w:val="nil"/>
              <w:bottom w:val="single" w:sz="4" w:space="0" w:color="auto"/>
              <w:right w:val="single" w:sz="4" w:space="0" w:color="auto"/>
            </w:tcBorders>
            <w:vAlign w:val="center"/>
            <w:hideMark/>
          </w:tcPr>
          <w:p w14:paraId="27D21925"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500.000,00</w:t>
            </w:r>
          </w:p>
        </w:tc>
      </w:tr>
      <w:tr w:rsidR="00426ACC" w:rsidRPr="00426ACC" w14:paraId="02A14A6E" w14:textId="77777777" w:rsidTr="002E5A0E">
        <w:trPr>
          <w:trHeight w:val="851"/>
        </w:trPr>
        <w:tc>
          <w:tcPr>
            <w:tcW w:w="562" w:type="dxa"/>
            <w:tcBorders>
              <w:top w:val="nil"/>
              <w:left w:val="single" w:sz="4" w:space="0" w:color="auto"/>
              <w:bottom w:val="single" w:sz="4" w:space="0" w:color="auto"/>
              <w:right w:val="single" w:sz="4" w:space="0" w:color="auto"/>
            </w:tcBorders>
            <w:vAlign w:val="center"/>
            <w:hideMark/>
          </w:tcPr>
          <w:p w14:paraId="2DF08A3A"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16</w:t>
            </w:r>
          </w:p>
        </w:tc>
        <w:tc>
          <w:tcPr>
            <w:tcW w:w="1843" w:type="dxa"/>
            <w:tcBorders>
              <w:top w:val="nil"/>
              <w:left w:val="nil"/>
              <w:bottom w:val="single" w:sz="4" w:space="0" w:color="auto"/>
              <w:right w:val="single" w:sz="4" w:space="0" w:color="auto"/>
            </w:tcBorders>
            <w:vAlign w:val="center"/>
            <w:hideMark/>
          </w:tcPr>
          <w:p w14:paraId="7FF38C76"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Zobozdravstvo - implantološka protetika</w:t>
            </w:r>
          </w:p>
        </w:tc>
        <w:tc>
          <w:tcPr>
            <w:tcW w:w="2268" w:type="dxa"/>
            <w:tcBorders>
              <w:top w:val="nil"/>
              <w:left w:val="nil"/>
              <w:bottom w:val="single" w:sz="4" w:space="0" w:color="auto"/>
              <w:right w:val="single" w:sz="4" w:space="0" w:color="auto"/>
            </w:tcBorders>
            <w:vAlign w:val="center"/>
            <w:hideMark/>
          </w:tcPr>
          <w:p w14:paraId="3D609051"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Izvajalci implantološke protetike v VZD 405 113</w:t>
            </w:r>
          </w:p>
        </w:tc>
        <w:tc>
          <w:tcPr>
            <w:tcW w:w="1418" w:type="dxa"/>
            <w:tcBorders>
              <w:top w:val="nil"/>
              <w:left w:val="nil"/>
              <w:bottom w:val="single" w:sz="4" w:space="0" w:color="auto"/>
              <w:right w:val="single" w:sz="4" w:space="0" w:color="auto"/>
            </w:tcBorders>
            <w:noWrap/>
            <w:vAlign w:val="center"/>
            <w:hideMark/>
          </w:tcPr>
          <w:p w14:paraId="3C8D3A3C" w14:textId="77777777" w:rsidR="00426ACC" w:rsidRPr="00426ACC" w:rsidRDefault="00426ACC" w:rsidP="00426ACC">
            <w:pPr>
              <w:widowControl/>
              <w:autoSpaceDE/>
              <w:autoSpaceDN/>
              <w:jc w:val="both"/>
              <w:rPr>
                <w:rFonts w:eastAsia="Times New Roman" w:cs="Calibri"/>
                <w:lang w:eastAsia="sl-SI"/>
              </w:rPr>
            </w:pPr>
            <w:r w:rsidRPr="00426ACC">
              <w:rPr>
                <w:rFonts w:eastAsia="Times New Roman" w:cs="Calibri"/>
                <w:lang w:eastAsia="sl-SI"/>
              </w:rPr>
              <w:t> </w:t>
            </w:r>
          </w:p>
        </w:tc>
        <w:tc>
          <w:tcPr>
            <w:tcW w:w="1559" w:type="dxa"/>
            <w:tcBorders>
              <w:top w:val="nil"/>
              <w:left w:val="nil"/>
              <w:bottom w:val="single" w:sz="4" w:space="0" w:color="auto"/>
              <w:right w:val="single" w:sz="4" w:space="0" w:color="auto"/>
            </w:tcBorders>
            <w:vAlign w:val="center"/>
            <w:hideMark/>
          </w:tcPr>
          <w:p w14:paraId="10FFDC3A"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70.000,00</w:t>
            </w:r>
          </w:p>
        </w:tc>
        <w:tc>
          <w:tcPr>
            <w:tcW w:w="1559" w:type="dxa"/>
            <w:tcBorders>
              <w:top w:val="nil"/>
              <w:left w:val="nil"/>
              <w:bottom w:val="single" w:sz="4" w:space="0" w:color="auto"/>
              <w:right w:val="single" w:sz="4" w:space="0" w:color="auto"/>
            </w:tcBorders>
            <w:vAlign w:val="center"/>
            <w:hideMark/>
          </w:tcPr>
          <w:p w14:paraId="42B05B09"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0,00</w:t>
            </w:r>
          </w:p>
        </w:tc>
      </w:tr>
      <w:tr w:rsidR="00426ACC" w:rsidRPr="00426ACC" w14:paraId="39F95AA2" w14:textId="77777777" w:rsidTr="002E5A0E">
        <w:trPr>
          <w:trHeight w:val="1500"/>
        </w:trPr>
        <w:tc>
          <w:tcPr>
            <w:tcW w:w="562" w:type="dxa"/>
            <w:tcBorders>
              <w:top w:val="nil"/>
              <w:left w:val="single" w:sz="4" w:space="0" w:color="auto"/>
              <w:bottom w:val="single" w:sz="4" w:space="0" w:color="auto"/>
              <w:right w:val="single" w:sz="4" w:space="0" w:color="auto"/>
            </w:tcBorders>
            <w:vAlign w:val="center"/>
            <w:hideMark/>
          </w:tcPr>
          <w:p w14:paraId="00B10F7E"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17</w:t>
            </w:r>
          </w:p>
        </w:tc>
        <w:tc>
          <w:tcPr>
            <w:tcW w:w="1843" w:type="dxa"/>
            <w:tcBorders>
              <w:top w:val="nil"/>
              <w:left w:val="nil"/>
              <w:bottom w:val="single" w:sz="4" w:space="0" w:color="auto"/>
              <w:right w:val="single" w:sz="4" w:space="0" w:color="auto"/>
            </w:tcBorders>
            <w:vAlign w:val="center"/>
            <w:hideMark/>
          </w:tcPr>
          <w:p w14:paraId="23AC0ABA"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 xml:space="preserve">Zobozdravstvo – stomatološka protetika </w:t>
            </w:r>
          </w:p>
        </w:tc>
        <w:tc>
          <w:tcPr>
            <w:tcW w:w="2268" w:type="dxa"/>
            <w:tcBorders>
              <w:top w:val="nil"/>
              <w:left w:val="nil"/>
              <w:bottom w:val="single" w:sz="4" w:space="0" w:color="auto"/>
              <w:right w:val="single" w:sz="4" w:space="0" w:color="auto"/>
            </w:tcBorders>
            <w:vAlign w:val="center"/>
            <w:hideMark/>
          </w:tcPr>
          <w:p w14:paraId="1A2443A7"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Izvajalci stomatološke protetike v VZD 405 113</w:t>
            </w:r>
          </w:p>
        </w:tc>
        <w:tc>
          <w:tcPr>
            <w:tcW w:w="1418" w:type="dxa"/>
            <w:tcBorders>
              <w:top w:val="nil"/>
              <w:left w:val="nil"/>
              <w:bottom w:val="single" w:sz="4" w:space="0" w:color="auto"/>
              <w:right w:val="single" w:sz="4" w:space="0" w:color="auto"/>
            </w:tcBorders>
            <w:noWrap/>
            <w:hideMark/>
          </w:tcPr>
          <w:p w14:paraId="7C442C4D" w14:textId="77777777" w:rsidR="00426ACC" w:rsidRPr="00426ACC" w:rsidRDefault="00426ACC" w:rsidP="00426ACC">
            <w:pPr>
              <w:widowControl/>
              <w:autoSpaceDE/>
              <w:autoSpaceDN/>
              <w:jc w:val="both"/>
              <w:rPr>
                <w:rFonts w:eastAsia="Times New Roman" w:cs="Calibri"/>
                <w:lang w:eastAsia="sl-SI"/>
              </w:rPr>
            </w:pPr>
            <w:r w:rsidRPr="00426ACC">
              <w:rPr>
                <w:rFonts w:eastAsia="Times New Roman" w:cs="Calibri"/>
                <w:lang w:eastAsia="sl-SI"/>
              </w:rPr>
              <w:t> </w:t>
            </w:r>
          </w:p>
        </w:tc>
        <w:tc>
          <w:tcPr>
            <w:tcW w:w="1559" w:type="dxa"/>
            <w:tcBorders>
              <w:top w:val="nil"/>
              <w:left w:val="nil"/>
              <w:bottom w:val="single" w:sz="4" w:space="0" w:color="auto"/>
              <w:right w:val="single" w:sz="4" w:space="0" w:color="auto"/>
            </w:tcBorders>
            <w:vAlign w:val="center"/>
            <w:hideMark/>
          </w:tcPr>
          <w:p w14:paraId="5E648B3B"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520.000,00</w:t>
            </w:r>
          </w:p>
        </w:tc>
        <w:tc>
          <w:tcPr>
            <w:tcW w:w="1559" w:type="dxa"/>
            <w:tcBorders>
              <w:top w:val="nil"/>
              <w:left w:val="nil"/>
              <w:bottom w:val="single" w:sz="4" w:space="0" w:color="auto"/>
              <w:right w:val="single" w:sz="4" w:space="0" w:color="auto"/>
            </w:tcBorders>
            <w:vAlign w:val="center"/>
            <w:hideMark/>
          </w:tcPr>
          <w:p w14:paraId="523E4567"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0,00</w:t>
            </w:r>
          </w:p>
        </w:tc>
      </w:tr>
      <w:tr w:rsidR="00426ACC" w:rsidRPr="00426ACC" w14:paraId="388D6A70" w14:textId="77777777" w:rsidTr="002E5A0E">
        <w:trPr>
          <w:trHeight w:val="1403"/>
        </w:trPr>
        <w:tc>
          <w:tcPr>
            <w:tcW w:w="562" w:type="dxa"/>
            <w:tcBorders>
              <w:top w:val="nil"/>
              <w:left w:val="single" w:sz="4" w:space="0" w:color="auto"/>
              <w:bottom w:val="single" w:sz="4" w:space="0" w:color="auto"/>
              <w:right w:val="single" w:sz="4" w:space="0" w:color="auto"/>
            </w:tcBorders>
            <w:vAlign w:val="center"/>
            <w:hideMark/>
          </w:tcPr>
          <w:p w14:paraId="2E16C701"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18</w:t>
            </w:r>
          </w:p>
        </w:tc>
        <w:tc>
          <w:tcPr>
            <w:tcW w:w="1843" w:type="dxa"/>
            <w:tcBorders>
              <w:top w:val="nil"/>
              <w:left w:val="nil"/>
              <w:bottom w:val="single" w:sz="4" w:space="0" w:color="auto"/>
              <w:right w:val="single" w:sz="4" w:space="0" w:color="auto"/>
            </w:tcBorders>
            <w:vAlign w:val="center"/>
            <w:hideMark/>
          </w:tcPr>
          <w:p w14:paraId="3ADD3626"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 xml:space="preserve">Zobozdravstvo – implantološka kirurgija </w:t>
            </w:r>
          </w:p>
        </w:tc>
        <w:tc>
          <w:tcPr>
            <w:tcW w:w="2268" w:type="dxa"/>
            <w:tcBorders>
              <w:top w:val="nil"/>
              <w:left w:val="nil"/>
              <w:bottom w:val="single" w:sz="4" w:space="0" w:color="auto"/>
              <w:right w:val="single" w:sz="4" w:space="0" w:color="auto"/>
            </w:tcBorders>
            <w:vAlign w:val="center"/>
            <w:hideMark/>
          </w:tcPr>
          <w:p w14:paraId="53731FE7"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Izvajalci implantološke kirurgije v VZD 215 224, 403 112, 406 114, 442 116</w:t>
            </w:r>
          </w:p>
        </w:tc>
        <w:tc>
          <w:tcPr>
            <w:tcW w:w="1418" w:type="dxa"/>
            <w:tcBorders>
              <w:top w:val="nil"/>
              <w:left w:val="nil"/>
              <w:bottom w:val="single" w:sz="4" w:space="0" w:color="auto"/>
              <w:right w:val="single" w:sz="4" w:space="0" w:color="auto"/>
            </w:tcBorders>
            <w:noWrap/>
            <w:hideMark/>
          </w:tcPr>
          <w:p w14:paraId="029BC16E" w14:textId="77777777" w:rsidR="00426ACC" w:rsidRPr="00426ACC" w:rsidRDefault="00426ACC" w:rsidP="00426ACC">
            <w:pPr>
              <w:widowControl/>
              <w:autoSpaceDE/>
              <w:autoSpaceDN/>
              <w:jc w:val="both"/>
              <w:rPr>
                <w:rFonts w:eastAsia="Times New Roman" w:cs="Calibri"/>
                <w:lang w:eastAsia="sl-SI"/>
              </w:rPr>
            </w:pPr>
            <w:r w:rsidRPr="00426ACC">
              <w:rPr>
                <w:rFonts w:eastAsia="Times New Roman" w:cs="Calibri"/>
                <w:lang w:eastAsia="sl-SI"/>
              </w:rPr>
              <w:t> </w:t>
            </w:r>
          </w:p>
        </w:tc>
        <w:tc>
          <w:tcPr>
            <w:tcW w:w="1559" w:type="dxa"/>
            <w:tcBorders>
              <w:top w:val="nil"/>
              <w:left w:val="nil"/>
              <w:bottom w:val="single" w:sz="4" w:space="0" w:color="auto"/>
              <w:right w:val="single" w:sz="4" w:space="0" w:color="auto"/>
            </w:tcBorders>
            <w:vAlign w:val="center"/>
            <w:hideMark/>
          </w:tcPr>
          <w:p w14:paraId="2C584AA4"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37.000,00</w:t>
            </w:r>
          </w:p>
        </w:tc>
        <w:tc>
          <w:tcPr>
            <w:tcW w:w="1559" w:type="dxa"/>
            <w:tcBorders>
              <w:top w:val="nil"/>
              <w:left w:val="nil"/>
              <w:bottom w:val="single" w:sz="4" w:space="0" w:color="auto"/>
              <w:right w:val="single" w:sz="4" w:space="0" w:color="auto"/>
            </w:tcBorders>
            <w:vAlign w:val="center"/>
            <w:hideMark/>
          </w:tcPr>
          <w:p w14:paraId="52343977"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0,00</w:t>
            </w:r>
          </w:p>
        </w:tc>
      </w:tr>
      <w:tr w:rsidR="00426ACC" w:rsidRPr="00426ACC" w14:paraId="769F5B58" w14:textId="77777777" w:rsidTr="002E5A0E">
        <w:trPr>
          <w:trHeight w:val="1403"/>
        </w:trPr>
        <w:tc>
          <w:tcPr>
            <w:tcW w:w="562" w:type="dxa"/>
            <w:tcBorders>
              <w:top w:val="single" w:sz="4" w:space="0" w:color="auto"/>
              <w:left w:val="single" w:sz="4" w:space="0" w:color="auto"/>
              <w:bottom w:val="single" w:sz="4" w:space="0" w:color="auto"/>
              <w:right w:val="single" w:sz="4" w:space="0" w:color="auto"/>
            </w:tcBorders>
            <w:vAlign w:val="center"/>
            <w:hideMark/>
          </w:tcPr>
          <w:p w14:paraId="24392D38"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19</w:t>
            </w:r>
          </w:p>
        </w:tc>
        <w:tc>
          <w:tcPr>
            <w:tcW w:w="1843" w:type="dxa"/>
            <w:tcBorders>
              <w:top w:val="single" w:sz="4" w:space="0" w:color="auto"/>
              <w:left w:val="nil"/>
              <w:bottom w:val="single" w:sz="4" w:space="0" w:color="auto"/>
              <w:right w:val="single" w:sz="4" w:space="0" w:color="auto"/>
            </w:tcBorders>
            <w:vAlign w:val="center"/>
            <w:hideMark/>
          </w:tcPr>
          <w:p w14:paraId="408891B7"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Razvojna ambulanta z vključenim centrom za zgodnjo obravnavo</w:t>
            </w:r>
          </w:p>
        </w:tc>
        <w:tc>
          <w:tcPr>
            <w:tcW w:w="2268" w:type="dxa"/>
            <w:tcBorders>
              <w:top w:val="single" w:sz="4" w:space="0" w:color="auto"/>
              <w:left w:val="nil"/>
              <w:bottom w:val="single" w:sz="4" w:space="0" w:color="auto"/>
              <w:right w:val="single" w:sz="4" w:space="0" w:color="auto"/>
            </w:tcBorders>
            <w:vAlign w:val="center"/>
            <w:hideMark/>
          </w:tcPr>
          <w:p w14:paraId="524AE130"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Izvajalci</w:t>
            </w:r>
          </w:p>
        </w:tc>
        <w:tc>
          <w:tcPr>
            <w:tcW w:w="1418" w:type="dxa"/>
            <w:tcBorders>
              <w:top w:val="single" w:sz="4" w:space="0" w:color="auto"/>
              <w:left w:val="nil"/>
              <w:bottom w:val="single" w:sz="4" w:space="0" w:color="auto"/>
              <w:right w:val="single" w:sz="4" w:space="0" w:color="auto"/>
            </w:tcBorders>
            <w:noWrap/>
          </w:tcPr>
          <w:p w14:paraId="1DADC1C3" w14:textId="77777777" w:rsidR="00426ACC" w:rsidRPr="00426ACC" w:rsidRDefault="00426ACC" w:rsidP="00426ACC">
            <w:pPr>
              <w:widowControl/>
              <w:autoSpaceDE/>
              <w:autoSpaceDN/>
              <w:jc w:val="both"/>
              <w:rPr>
                <w:rFonts w:eastAsia="Times New Roman" w:cs="Calibri"/>
                <w:lang w:eastAsia="sl-SI"/>
              </w:rPr>
            </w:pPr>
          </w:p>
        </w:tc>
        <w:tc>
          <w:tcPr>
            <w:tcW w:w="1559" w:type="dxa"/>
            <w:tcBorders>
              <w:top w:val="single" w:sz="4" w:space="0" w:color="auto"/>
              <w:left w:val="nil"/>
              <w:bottom w:val="single" w:sz="4" w:space="0" w:color="auto"/>
              <w:right w:val="single" w:sz="4" w:space="0" w:color="auto"/>
            </w:tcBorders>
            <w:vAlign w:val="center"/>
            <w:hideMark/>
          </w:tcPr>
          <w:p w14:paraId="2DEF08B8"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1.948.086,94</w:t>
            </w:r>
          </w:p>
        </w:tc>
        <w:tc>
          <w:tcPr>
            <w:tcW w:w="1559" w:type="dxa"/>
            <w:tcBorders>
              <w:top w:val="single" w:sz="4" w:space="0" w:color="auto"/>
              <w:left w:val="nil"/>
              <w:bottom w:val="single" w:sz="4" w:space="0" w:color="auto"/>
              <w:right w:val="single" w:sz="4" w:space="0" w:color="auto"/>
            </w:tcBorders>
            <w:vAlign w:val="center"/>
            <w:hideMark/>
          </w:tcPr>
          <w:p w14:paraId="462E3B22" w14:textId="77777777" w:rsidR="00426ACC" w:rsidRPr="00426ACC" w:rsidRDefault="00426ACC" w:rsidP="00426ACC">
            <w:pPr>
              <w:widowControl/>
              <w:autoSpaceDE/>
              <w:autoSpaceDN/>
              <w:jc w:val="both"/>
              <w:rPr>
                <w:rFonts w:eastAsia="MS Mincho" w:cs="Arial"/>
              </w:rPr>
            </w:pPr>
            <w:r w:rsidRPr="00426ACC">
              <w:rPr>
                <w:rFonts w:eastAsia="Times New Roman" w:cs="Arial"/>
                <w:lang w:eastAsia="sl-SI"/>
              </w:rPr>
              <w:t xml:space="preserve">    974.043,47</w:t>
            </w:r>
          </w:p>
        </w:tc>
      </w:tr>
      <w:tr w:rsidR="00426ACC" w:rsidRPr="00426ACC" w14:paraId="152B91DC" w14:textId="77777777" w:rsidTr="002E5A0E">
        <w:trPr>
          <w:trHeight w:hRule="exact" w:val="115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A80308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D3C5E1"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Presejalna kolonoskopija SVIT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5AF9B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Pooblaščeni kolonoskopski centri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A2BBFEC"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8.000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6E9FAC"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1.016.124,89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DF04248"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508.062,45</w:t>
            </w:r>
          </w:p>
        </w:tc>
      </w:tr>
      <w:tr w:rsidR="00426ACC" w:rsidRPr="00426ACC" w14:paraId="62DA66C7" w14:textId="77777777" w:rsidTr="002E5A0E">
        <w:trPr>
          <w:trHeight w:hRule="exact" w:val="104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3876642"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C6ADACD"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Presejalna terapevtska kolonoskopija SVIT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58C8BB"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Pooblaščeni kolonoskopski centri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199B1A"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060273C"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95.194,55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3CE0D21"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47.597,28</w:t>
            </w:r>
          </w:p>
        </w:tc>
      </w:tr>
      <w:tr w:rsidR="00426ACC" w:rsidRPr="00426ACC" w14:paraId="2F4CA0A2" w14:textId="77777777" w:rsidTr="002E5A0E">
        <w:trPr>
          <w:trHeight w:hRule="exact" w:val="10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6FA5DE8B"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577D2C"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Delna kolonoskopija SVIT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69D26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Pooblaščeni kolonoskopski centri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2BAB0C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250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1DCFCA"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2.171,63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5B94304"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1.085,82</w:t>
            </w:r>
          </w:p>
        </w:tc>
      </w:tr>
      <w:tr w:rsidR="00426ACC" w:rsidRPr="00426ACC" w14:paraId="101E5951" w14:textId="77777777" w:rsidTr="002E5A0E">
        <w:trPr>
          <w:trHeight w:hRule="exact" w:val="10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9BB38D3"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7FC58E"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Operativna kolonoskopija z enim nožem SVIT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CA9653"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Pooblaščeni kolonoskopski centri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4F5E1C5"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E30075"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8.172,01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A9563B1"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4.086,01</w:t>
            </w:r>
          </w:p>
        </w:tc>
      </w:tr>
      <w:tr w:rsidR="00426ACC" w:rsidRPr="00426ACC" w14:paraId="6D59B4DE" w14:textId="77777777" w:rsidTr="002E5A0E">
        <w:trPr>
          <w:trHeight w:hRule="exact" w:val="126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77552DF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D28AF9"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Operativna kolonoskopija z dvema nožema SVIT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2A2555"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Pooblaščeni kolonoskopski centri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E71489"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0B7968"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5.072,70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3D2FA5"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2.536,35</w:t>
            </w:r>
          </w:p>
        </w:tc>
      </w:tr>
      <w:tr w:rsidR="00426ACC" w:rsidRPr="00426ACC" w14:paraId="09062D8C" w14:textId="77777777" w:rsidTr="002E5A0E">
        <w:trPr>
          <w:trHeight w:hRule="exact" w:val="107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57C8DA7"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5313D0"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Operativna kolonoskopija brez noža SVIT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2BEBBB"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Pooblaščeni kolonoskopski centri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FF1E41"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theme="minorHAnsi"/>
                <w:lang w:eastAsia="sl-SI"/>
              </w:rPr>
              <w:t>130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5387BBA"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17.633,14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2EF7FCA"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8.816,57</w:t>
            </w:r>
          </w:p>
        </w:tc>
      </w:tr>
      <w:tr w:rsidR="00426ACC" w:rsidRPr="00426ACC" w14:paraId="567CC44E" w14:textId="77777777" w:rsidTr="002E5A0E">
        <w:trPr>
          <w:trHeight w:hRule="exact" w:val="174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4D0DFA13"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26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C3F76CE"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Sprememba kalkulacij programov NMP (Am, MS, INF) 338 024, 338 040,338 062, 338 063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BD96C1"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Izvajalci NMP</w:t>
            </w:r>
          </w:p>
        </w:tc>
        <w:tc>
          <w:tcPr>
            <w:tcW w:w="1418" w:type="dxa"/>
            <w:tcBorders>
              <w:top w:val="single" w:sz="4" w:space="0" w:color="auto"/>
              <w:left w:val="single" w:sz="4" w:space="0" w:color="auto"/>
              <w:bottom w:val="single" w:sz="4" w:space="0" w:color="auto"/>
              <w:right w:val="single" w:sz="4" w:space="0" w:color="auto"/>
            </w:tcBorders>
            <w:noWrap/>
            <w:vAlign w:val="center"/>
          </w:tcPr>
          <w:p w14:paraId="194D1C65" w14:textId="77777777" w:rsidR="00426ACC" w:rsidRPr="00426ACC" w:rsidRDefault="00426ACC" w:rsidP="00426ACC">
            <w:pPr>
              <w:widowControl/>
              <w:autoSpaceDE/>
              <w:autoSpaceDN/>
              <w:jc w:val="both"/>
              <w:rPr>
                <w:rFonts w:eastAsia="Times New Roman" w:cstheme="minorHAnsi"/>
                <w:lang w:eastAsia="sl-SI"/>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E46FD99"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2.929.986,81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47BA52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741.126,96</w:t>
            </w:r>
          </w:p>
        </w:tc>
      </w:tr>
      <w:tr w:rsidR="00426ACC" w:rsidRPr="00426ACC" w14:paraId="01932245" w14:textId="77777777" w:rsidTr="002E5A0E">
        <w:trPr>
          <w:trHeight w:hRule="exact" w:val="107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B83C213"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27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8B90F4B"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Sprememba standarda 338 046</w:t>
            </w:r>
          </w:p>
          <w:p w14:paraId="4E8C9985"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 xml:space="preserve">Triaža v SUC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EA6507"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Arial"/>
                <w:lang w:eastAsia="sl-SI"/>
              </w:rPr>
              <w:t>Izvajalci NMP SUC</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5326B9F"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15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A57A7CE"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657.049,80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CD49BF"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328.524,90</w:t>
            </w:r>
          </w:p>
        </w:tc>
      </w:tr>
      <w:tr w:rsidR="00426ACC" w:rsidRPr="00426ACC" w14:paraId="13B44B6B" w14:textId="77777777" w:rsidTr="002E5A0E">
        <w:trPr>
          <w:trHeight w:hRule="exact" w:val="107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4966A8A"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28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81EFD3"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Sprememba standarda 338 051 EHP - RDČ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DA3FC3"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Izvajalci NMP</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7CCE8B2"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8,2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07E44E"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1.815.624,89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8CE76E7"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453.906,22</w:t>
            </w:r>
          </w:p>
        </w:tc>
      </w:tr>
      <w:tr w:rsidR="00426ACC" w:rsidRPr="00426ACC" w14:paraId="1ABEDCEF" w14:textId="77777777" w:rsidTr="002E5A0E">
        <w:trPr>
          <w:trHeight w:hRule="exact" w:val="1261"/>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6BE1700"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29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850748"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Specialistična zunajbolnišnična dejavnost kardiologija - nov model plačevanja</w:t>
            </w:r>
          </w:p>
        </w:tc>
        <w:tc>
          <w:tcPr>
            <w:tcW w:w="2268" w:type="dxa"/>
            <w:tcBorders>
              <w:top w:val="single" w:sz="4" w:space="0" w:color="auto"/>
              <w:left w:val="single" w:sz="4" w:space="0" w:color="auto"/>
              <w:bottom w:val="single" w:sz="4" w:space="0" w:color="auto"/>
              <w:right w:val="single" w:sz="4" w:space="0" w:color="auto"/>
            </w:tcBorders>
            <w:vAlign w:val="center"/>
          </w:tcPr>
          <w:p w14:paraId="1B753C69" w14:textId="77777777" w:rsidR="00426ACC" w:rsidRPr="00426ACC" w:rsidRDefault="00426ACC" w:rsidP="00426ACC">
            <w:pPr>
              <w:widowControl/>
              <w:autoSpaceDE/>
              <w:autoSpaceDN/>
              <w:jc w:val="both"/>
              <w:rPr>
                <w:rFonts w:eastAsia="Times New Roman" w:cstheme="minorHAnsi"/>
                <w:lang w:eastAsia="sl-SI"/>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B9B4728" w14:textId="77777777" w:rsidR="00426ACC" w:rsidRPr="00426ACC" w:rsidRDefault="00426ACC" w:rsidP="00426ACC">
            <w:pPr>
              <w:widowControl/>
              <w:autoSpaceDE/>
              <w:autoSpaceDN/>
              <w:jc w:val="both"/>
              <w:rPr>
                <w:rFonts w:eastAsia="Times New Roman" w:cstheme="minorHAnsi"/>
                <w:lang w:eastAsia="sl-SI"/>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05C085"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3.600.000,00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AB772E0"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0,00</w:t>
            </w:r>
          </w:p>
        </w:tc>
      </w:tr>
      <w:tr w:rsidR="00426ACC" w:rsidRPr="00426ACC" w14:paraId="0D323700" w14:textId="77777777" w:rsidTr="002E5A0E">
        <w:trPr>
          <w:trHeight w:hRule="exact" w:val="1264"/>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72E8355"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712ACC"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Specialistična zunajbolnišnična dejavnost ortopedija - nov model plačevanja</w:t>
            </w:r>
          </w:p>
        </w:tc>
        <w:tc>
          <w:tcPr>
            <w:tcW w:w="2268" w:type="dxa"/>
            <w:tcBorders>
              <w:top w:val="single" w:sz="4" w:space="0" w:color="auto"/>
              <w:left w:val="single" w:sz="4" w:space="0" w:color="auto"/>
              <w:bottom w:val="single" w:sz="4" w:space="0" w:color="auto"/>
              <w:right w:val="single" w:sz="4" w:space="0" w:color="auto"/>
            </w:tcBorders>
            <w:vAlign w:val="center"/>
          </w:tcPr>
          <w:p w14:paraId="1683A290" w14:textId="77777777" w:rsidR="00426ACC" w:rsidRPr="00426ACC" w:rsidRDefault="00426ACC" w:rsidP="00426ACC">
            <w:pPr>
              <w:widowControl/>
              <w:autoSpaceDE/>
              <w:autoSpaceDN/>
              <w:jc w:val="both"/>
              <w:rPr>
                <w:rFonts w:eastAsia="Times New Roman" w:cstheme="minorHAnsi"/>
                <w:lang w:eastAsia="sl-SI"/>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300289B" w14:textId="77777777" w:rsidR="00426ACC" w:rsidRPr="00426ACC" w:rsidRDefault="00426ACC" w:rsidP="00426ACC">
            <w:pPr>
              <w:widowControl/>
              <w:autoSpaceDE/>
              <w:autoSpaceDN/>
              <w:jc w:val="both"/>
              <w:rPr>
                <w:rFonts w:eastAsia="Times New Roman" w:cstheme="minorHAnsi"/>
                <w:lang w:eastAsia="sl-SI"/>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822A849"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1.200.000,00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9EDA86"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0,00</w:t>
            </w:r>
          </w:p>
        </w:tc>
      </w:tr>
      <w:tr w:rsidR="00426ACC" w:rsidRPr="00426ACC" w14:paraId="68094866" w14:textId="77777777" w:rsidTr="002E5A0E">
        <w:trPr>
          <w:trHeight w:hRule="exact" w:val="1437"/>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A74B944" w14:textId="77777777" w:rsidR="00426ACC" w:rsidRPr="00426ACC" w:rsidRDefault="00426ACC" w:rsidP="00426ACC">
            <w:pPr>
              <w:widowControl/>
              <w:autoSpaceDE/>
              <w:autoSpaceDN/>
              <w:jc w:val="both"/>
              <w:rPr>
                <w:rFonts w:eastAsia="Times New Roman" w:cstheme="minorHAnsi"/>
                <w:lang w:eastAsia="sl-SI"/>
              </w:rPr>
            </w:pPr>
            <w:r w:rsidRPr="00426ACC">
              <w:rPr>
                <w:rFonts w:eastAsia="Times New Roman" w:cstheme="minorHAnsi"/>
                <w:lang w:eastAsia="sl-SI"/>
              </w:rPr>
              <w:t>31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F43D5E"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Specialistična zunajbolnišnična dejavnost gastoenterologija - nov model plačevanja</w:t>
            </w:r>
          </w:p>
        </w:tc>
        <w:tc>
          <w:tcPr>
            <w:tcW w:w="2268" w:type="dxa"/>
            <w:tcBorders>
              <w:top w:val="single" w:sz="4" w:space="0" w:color="auto"/>
              <w:left w:val="single" w:sz="4" w:space="0" w:color="auto"/>
              <w:bottom w:val="single" w:sz="4" w:space="0" w:color="auto"/>
              <w:right w:val="single" w:sz="4" w:space="0" w:color="auto"/>
            </w:tcBorders>
            <w:vAlign w:val="center"/>
          </w:tcPr>
          <w:p w14:paraId="16E32CEC" w14:textId="77777777" w:rsidR="00426ACC" w:rsidRPr="00426ACC" w:rsidRDefault="00426ACC" w:rsidP="00426ACC">
            <w:pPr>
              <w:widowControl/>
              <w:autoSpaceDE/>
              <w:autoSpaceDN/>
              <w:jc w:val="both"/>
              <w:rPr>
                <w:rFonts w:eastAsia="Times New Roman" w:cstheme="minorHAnsi"/>
                <w:lang w:eastAsia="sl-SI"/>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43F112F" w14:textId="77777777" w:rsidR="00426ACC" w:rsidRPr="00426ACC" w:rsidRDefault="00426ACC" w:rsidP="00426ACC">
            <w:pPr>
              <w:widowControl/>
              <w:autoSpaceDE/>
              <w:autoSpaceDN/>
              <w:jc w:val="both"/>
              <w:rPr>
                <w:rFonts w:eastAsia="Times New Roman" w:cstheme="minorHAnsi"/>
                <w:lang w:eastAsia="sl-SI"/>
              </w:rPr>
            </w:pP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282FB70"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3.820.000,00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5F4B67B"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0,00</w:t>
            </w:r>
          </w:p>
        </w:tc>
      </w:tr>
      <w:tr w:rsidR="00426ACC" w:rsidRPr="00426ACC" w14:paraId="23BB6550" w14:textId="77777777" w:rsidTr="002E5A0E">
        <w:trPr>
          <w:trHeight w:val="40"/>
        </w:trPr>
        <w:tc>
          <w:tcPr>
            <w:tcW w:w="562" w:type="dxa"/>
            <w:tcBorders>
              <w:top w:val="nil"/>
              <w:left w:val="single" w:sz="8" w:space="0" w:color="8497B0"/>
              <w:bottom w:val="single" w:sz="8" w:space="0" w:color="8497B0"/>
              <w:right w:val="single" w:sz="8" w:space="0" w:color="8497B0"/>
            </w:tcBorders>
            <w:vAlign w:val="center"/>
            <w:hideMark/>
          </w:tcPr>
          <w:p w14:paraId="472B6857" w14:textId="77777777" w:rsidR="00426ACC" w:rsidRPr="00426ACC" w:rsidRDefault="00426ACC" w:rsidP="00426ACC">
            <w:pPr>
              <w:widowControl/>
              <w:autoSpaceDE/>
              <w:autoSpaceDN/>
              <w:rPr>
                <w:rFonts w:eastAsia="Times New Roman" w:cs="Arial"/>
                <w:lang w:eastAsia="sl-SI"/>
              </w:rPr>
            </w:pPr>
          </w:p>
        </w:tc>
        <w:tc>
          <w:tcPr>
            <w:tcW w:w="1843" w:type="dxa"/>
            <w:tcBorders>
              <w:top w:val="nil"/>
              <w:left w:val="nil"/>
              <w:bottom w:val="single" w:sz="8" w:space="0" w:color="8497B0"/>
              <w:right w:val="single" w:sz="8" w:space="0" w:color="8497B0"/>
            </w:tcBorders>
            <w:shd w:val="clear" w:color="auto" w:fill="FFFFFF"/>
            <w:vAlign w:val="center"/>
            <w:hideMark/>
          </w:tcPr>
          <w:p w14:paraId="674EB209" w14:textId="77777777" w:rsidR="00426ACC" w:rsidRPr="00426ACC" w:rsidRDefault="00426ACC" w:rsidP="00426ACC">
            <w:pPr>
              <w:widowControl/>
              <w:autoSpaceDE/>
              <w:autoSpaceDN/>
              <w:jc w:val="both"/>
              <w:rPr>
                <w:rFonts w:eastAsia="Times New Roman" w:cs="Calibri"/>
                <w:lang w:eastAsia="sl-SI"/>
              </w:rPr>
            </w:pPr>
            <w:r w:rsidRPr="00426ACC">
              <w:rPr>
                <w:rFonts w:eastAsia="Times New Roman" w:cs="Calibri"/>
                <w:lang w:eastAsia="sl-SI"/>
              </w:rPr>
              <w:t> SKUPAJ</w:t>
            </w:r>
          </w:p>
        </w:tc>
        <w:tc>
          <w:tcPr>
            <w:tcW w:w="2268" w:type="dxa"/>
            <w:tcBorders>
              <w:top w:val="nil"/>
              <w:left w:val="nil"/>
              <w:bottom w:val="single" w:sz="8" w:space="0" w:color="8497B0"/>
              <w:right w:val="single" w:sz="8" w:space="0" w:color="8497B0"/>
            </w:tcBorders>
            <w:shd w:val="clear" w:color="auto" w:fill="FFFFFF"/>
            <w:vAlign w:val="center"/>
            <w:hideMark/>
          </w:tcPr>
          <w:p w14:paraId="5110FAB4" w14:textId="77777777" w:rsidR="00426ACC" w:rsidRPr="00426ACC" w:rsidRDefault="00426ACC" w:rsidP="00426ACC">
            <w:pPr>
              <w:widowControl/>
              <w:autoSpaceDE/>
              <w:autoSpaceDN/>
              <w:rPr>
                <w:rFonts w:eastAsia="Times New Roman" w:cs="Calibri"/>
                <w:lang w:eastAsia="sl-SI"/>
              </w:rPr>
            </w:pPr>
          </w:p>
        </w:tc>
        <w:tc>
          <w:tcPr>
            <w:tcW w:w="1418" w:type="dxa"/>
            <w:tcBorders>
              <w:top w:val="nil"/>
              <w:left w:val="nil"/>
              <w:bottom w:val="single" w:sz="8" w:space="0" w:color="8497B0"/>
              <w:right w:val="single" w:sz="8" w:space="0" w:color="8497B0"/>
            </w:tcBorders>
            <w:shd w:val="clear" w:color="auto" w:fill="FFFFFF"/>
            <w:hideMark/>
          </w:tcPr>
          <w:p w14:paraId="136EB9C3" w14:textId="77777777" w:rsidR="00426ACC" w:rsidRPr="00426ACC" w:rsidRDefault="00426ACC" w:rsidP="00426ACC">
            <w:pPr>
              <w:widowControl/>
              <w:autoSpaceDE/>
              <w:autoSpaceDN/>
              <w:jc w:val="both"/>
              <w:rPr>
                <w:rFonts w:eastAsia="Times New Roman" w:cs="Calibri"/>
                <w:lang w:eastAsia="sl-SI"/>
              </w:rPr>
            </w:pPr>
            <w:r w:rsidRPr="00426ACC">
              <w:rPr>
                <w:rFonts w:eastAsia="Times New Roman" w:cs="Calibri"/>
                <w:lang w:eastAsia="sl-SI"/>
              </w:rPr>
              <w:t> </w:t>
            </w:r>
          </w:p>
        </w:tc>
        <w:tc>
          <w:tcPr>
            <w:tcW w:w="1559" w:type="dxa"/>
            <w:tcBorders>
              <w:top w:val="nil"/>
              <w:left w:val="single" w:sz="8" w:space="0" w:color="8497B0"/>
              <w:bottom w:val="single" w:sz="8" w:space="0" w:color="8497B0"/>
              <w:right w:val="single" w:sz="8" w:space="0" w:color="8497B0"/>
            </w:tcBorders>
            <w:vAlign w:val="center"/>
            <w:hideMark/>
          </w:tcPr>
          <w:p w14:paraId="19D936AC" w14:textId="77777777" w:rsidR="00426ACC" w:rsidRPr="00426ACC" w:rsidRDefault="00426ACC" w:rsidP="00426ACC">
            <w:pPr>
              <w:widowControl/>
              <w:autoSpaceDE/>
              <w:autoSpaceDN/>
              <w:ind w:left="-491" w:firstLine="491"/>
              <w:jc w:val="both"/>
              <w:rPr>
                <w:rFonts w:eastAsia="Times New Roman" w:cs="Arial"/>
                <w:lang w:eastAsia="sl-SI"/>
              </w:rPr>
            </w:pPr>
            <w:r w:rsidRPr="00426ACC">
              <w:rPr>
                <w:rFonts w:eastAsia="Times New Roman" w:cs="Arial"/>
                <w:lang w:eastAsia="sl-SI"/>
              </w:rPr>
              <w:t>20.743.843,36</w:t>
            </w:r>
          </w:p>
        </w:tc>
        <w:tc>
          <w:tcPr>
            <w:tcW w:w="1559" w:type="dxa"/>
            <w:tcBorders>
              <w:top w:val="nil"/>
              <w:left w:val="single" w:sz="8" w:space="0" w:color="8497B0"/>
              <w:bottom w:val="single" w:sz="8" w:space="0" w:color="8497B0"/>
              <w:right w:val="single" w:sz="8" w:space="0" w:color="8497B0"/>
            </w:tcBorders>
            <w:vAlign w:val="center"/>
            <w:hideMark/>
          </w:tcPr>
          <w:p w14:paraId="3D132D3E" w14:textId="77777777" w:rsidR="00426ACC" w:rsidRPr="00426ACC" w:rsidRDefault="00426ACC" w:rsidP="00426ACC">
            <w:pPr>
              <w:widowControl/>
              <w:autoSpaceDE/>
              <w:autoSpaceDN/>
              <w:jc w:val="both"/>
              <w:rPr>
                <w:rFonts w:eastAsia="Times New Roman" w:cs="Arial"/>
                <w:lang w:eastAsia="sl-SI"/>
              </w:rPr>
            </w:pPr>
            <w:r w:rsidRPr="00426ACC">
              <w:rPr>
                <w:rFonts w:eastAsia="Times New Roman" w:cs="Arial"/>
                <w:lang w:eastAsia="sl-SI"/>
              </w:rPr>
              <w:t>4.570.649,01</w:t>
            </w:r>
          </w:p>
        </w:tc>
      </w:tr>
    </w:tbl>
    <w:p w14:paraId="0C73E923" w14:textId="77777777" w:rsidR="00194513" w:rsidRPr="00B47101" w:rsidRDefault="00194513" w:rsidP="00194513">
      <w:pPr>
        <w:pStyle w:val="Telobesedila"/>
        <w:ind w:right="1134"/>
        <w:rPr>
          <w:sz w:val="16"/>
          <w:szCs w:val="16"/>
        </w:rPr>
      </w:pPr>
    </w:p>
    <w:p w14:paraId="55C3A08E" w14:textId="77777777" w:rsidR="00194513" w:rsidRPr="004918DC" w:rsidRDefault="00194513" w:rsidP="00194513">
      <w:pPr>
        <w:pStyle w:val="Telobesedila"/>
        <w:ind w:right="1134"/>
      </w:pPr>
      <w:r w:rsidRPr="004918DC">
        <w:t>Obrazložitve nekaterih točk:</w:t>
      </w:r>
    </w:p>
    <w:p w14:paraId="4CF3544E" w14:textId="77777777" w:rsidR="00194513" w:rsidRPr="004918DC" w:rsidRDefault="00194513" w:rsidP="00194513">
      <w:pPr>
        <w:pStyle w:val="Telobesedila"/>
        <w:ind w:right="1134"/>
      </w:pPr>
      <w:r w:rsidRPr="004918DC">
        <w:t>14. točka</w:t>
      </w:r>
    </w:p>
    <w:p w14:paraId="2DF623AE" w14:textId="77777777" w:rsidR="00194513" w:rsidRPr="004918DC" w:rsidRDefault="00194513" w:rsidP="00194513">
      <w:pPr>
        <w:pStyle w:val="Telobesedila"/>
        <w:ind w:right="1134"/>
      </w:pPr>
      <w:r w:rsidRPr="004918DC">
        <w:t xml:space="preserve">Za zdravljenje nevroendokrinih tumorjev UKC Ljubljana uporablja magistralno zdravilo Lutecij. Zdravilo je bistveno cenejše kot zdravilo Luthatera, ki je razvrščeno na listo. </w:t>
      </w:r>
    </w:p>
    <w:p w14:paraId="56C3A0E7" w14:textId="77777777" w:rsidR="00194513" w:rsidRPr="004918DC" w:rsidRDefault="00194513" w:rsidP="00194513">
      <w:pPr>
        <w:pStyle w:val="Telobesedila"/>
        <w:ind w:right="1134"/>
      </w:pPr>
    </w:p>
    <w:p w14:paraId="2A009DD4" w14:textId="77777777" w:rsidR="00194513" w:rsidRPr="004918DC" w:rsidRDefault="00194513" w:rsidP="00194513">
      <w:pPr>
        <w:pStyle w:val="Telobesedila"/>
        <w:ind w:right="1134"/>
      </w:pPr>
      <w:r w:rsidRPr="004918DC">
        <w:t>15. točka</w:t>
      </w:r>
    </w:p>
    <w:p w14:paraId="74B394AC" w14:textId="6400ADDF" w:rsidR="00194513" w:rsidRPr="004918DC" w:rsidRDefault="00194513" w:rsidP="00194513">
      <w:pPr>
        <w:pStyle w:val="Telobesedila"/>
        <w:ind w:right="1134"/>
      </w:pPr>
      <w:r w:rsidRPr="004918DC">
        <w:t xml:space="preserve">Socialnovarstveno varstvenim zavodom se </w:t>
      </w:r>
      <w:r w:rsidR="00C71EA6" w:rsidRPr="004918DC">
        <w:t>priznajo</w:t>
      </w:r>
      <w:r w:rsidRPr="004918DC">
        <w:t xml:space="preserve"> dodatna sredstva za sodobne obloge za oskrbo kronične rane v višini 40 EUR na posteljo letno. Plača se realizirana vrednost, vendar največ do pogodbeno dogovorjene vrednosti. </w:t>
      </w:r>
    </w:p>
    <w:p w14:paraId="285B6F57" w14:textId="77777777" w:rsidR="00194513" w:rsidRPr="004918DC" w:rsidRDefault="00194513" w:rsidP="00194513">
      <w:pPr>
        <w:pStyle w:val="Telobesedila"/>
        <w:ind w:right="1134"/>
      </w:pPr>
    </w:p>
    <w:p w14:paraId="56CB22F6" w14:textId="26C261A1" w:rsidR="00194513" w:rsidRPr="004918DC" w:rsidRDefault="00194513" w:rsidP="00194513">
      <w:pPr>
        <w:pStyle w:val="Telobesedila"/>
        <w:ind w:right="1134"/>
      </w:pPr>
      <w:r w:rsidRPr="004918DC">
        <w:t>16. in 17. točka</w:t>
      </w:r>
    </w:p>
    <w:p w14:paraId="4A0926B6" w14:textId="77777777" w:rsidR="00194513" w:rsidRPr="004918DC" w:rsidRDefault="00194513" w:rsidP="00194513">
      <w:pPr>
        <w:pStyle w:val="Telobesedila"/>
        <w:ind w:right="1134"/>
      </w:pPr>
      <w:r w:rsidRPr="004918DC">
        <w:t xml:space="preserve">Na predlog Stomatološke klinike so dodane nekatere nove storitve, ki so nujno potrebne za strokovno ustrezno obravnavo zelo zahtevnih kliničnih primerov, ki so zajeti v 30. členu Pravil OZZ. </w:t>
      </w:r>
    </w:p>
    <w:p w14:paraId="5C1EEACF" w14:textId="77777777" w:rsidR="00194513" w:rsidRPr="004918DC" w:rsidRDefault="00194513" w:rsidP="00194513">
      <w:pPr>
        <w:pStyle w:val="Telobesedila"/>
        <w:ind w:right="1134"/>
      </w:pPr>
    </w:p>
    <w:p w14:paraId="2922E71C" w14:textId="77777777" w:rsidR="00194513" w:rsidRPr="004918DC" w:rsidRDefault="00194513" w:rsidP="00194513">
      <w:pPr>
        <w:pStyle w:val="Telobesedila"/>
        <w:ind w:right="1134"/>
      </w:pPr>
      <w:r w:rsidRPr="004918DC">
        <w:t>18. točka</w:t>
      </w:r>
    </w:p>
    <w:p w14:paraId="3B08E3D4" w14:textId="77777777" w:rsidR="00194513" w:rsidRPr="004918DC" w:rsidRDefault="00194513" w:rsidP="00194513">
      <w:pPr>
        <w:pStyle w:val="Telobesedila"/>
        <w:ind w:right="1134"/>
      </w:pPr>
      <w:r w:rsidRPr="004918DC">
        <w:t>Na predlog UKC Ljubljana - Klinike za maksilofacialno in oralno kirurgijo se povišajo vrednosti nekaterih obstoječih implantoloških kirurških storitev.</w:t>
      </w:r>
    </w:p>
    <w:p w14:paraId="5F1920DE" w14:textId="77777777" w:rsidR="00194513" w:rsidRPr="009B04E9" w:rsidRDefault="00194513" w:rsidP="00194513">
      <w:pPr>
        <w:pStyle w:val="Telobesedila"/>
        <w:ind w:right="1134"/>
      </w:pPr>
    </w:p>
    <w:p w14:paraId="620ED138" w14:textId="77777777" w:rsidR="00194513" w:rsidRPr="009B04E9" w:rsidRDefault="00194513" w:rsidP="00194513">
      <w:pPr>
        <w:pStyle w:val="Telobesedila"/>
        <w:ind w:right="1134"/>
      </w:pPr>
      <w:r w:rsidRPr="009B04E9">
        <w:t>19. točka</w:t>
      </w:r>
    </w:p>
    <w:p w14:paraId="6D7D32C0" w14:textId="77777777" w:rsidR="00194513" w:rsidRPr="009B04E9" w:rsidRDefault="00194513" w:rsidP="00194513">
      <w:pPr>
        <w:pStyle w:val="Telobesedila"/>
        <w:ind w:right="1134"/>
      </w:pPr>
      <w:r w:rsidRPr="009B04E9">
        <w:t xml:space="preserve">Razvojnim ambulantam s centri za zgodnjo obravnavo se zagotavljajo višja sredstva za kritje materialnih stroškov v znesku </w:t>
      </w:r>
      <w:bookmarkStart w:id="0" w:name="_Hlk167971065"/>
      <w:r w:rsidRPr="009B04E9">
        <w:t xml:space="preserve">127.620,83 </w:t>
      </w:r>
      <w:bookmarkEnd w:id="0"/>
      <w:r w:rsidRPr="009B04E9">
        <w:t>eurov na tim.</w:t>
      </w:r>
    </w:p>
    <w:p w14:paraId="7710CEAE" w14:textId="77777777" w:rsidR="00194513" w:rsidRPr="009B04E9" w:rsidRDefault="00194513" w:rsidP="00194513">
      <w:pPr>
        <w:pStyle w:val="Telobesedila"/>
        <w:ind w:right="1134"/>
      </w:pPr>
    </w:p>
    <w:p w14:paraId="5AD5EECF" w14:textId="77777777" w:rsidR="00194513" w:rsidRPr="009B04E9" w:rsidRDefault="00194513" w:rsidP="00194513">
      <w:pPr>
        <w:pStyle w:val="Telobesedila"/>
        <w:ind w:right="1134"/>
      </w:pPr>
      <w:r w:rsidRPr="009B04E9">
        <w:t>Od 20. točka  do 25.  točke</w:t>
      </w:r>
    </w:p>
    <w:p w14:paraId="5C374FF1" w14:textId="77777777" w:rsidR="00194513" w:rsidRPr="009B04E9" w:rsidRDefault="00194513" w:rsidP="00194513">
      <w:pPr>
        <w:pStyle w:val="Telobesedila"/>
        <w:ind w:right="1134"/>
      </w:pPr>
      <w:r w:rsidRPr="009B04E9">
        <w:t>Zaradi povišanja stroškov materiala in dela</w:t>
      </w:r>
      <w:r>
        <w:t xml:space="preserve"> se zvišajo cene</w:t>
      </w:r>
      <w:r w:rsidRPr="009B04E9">
        <w:t>:</w:t>
      </w:r>
    </w:p>
    <w:p w14:paraId="5102BB19" w14:textId="77777777" w:rsidR="00194513" w:rsidRPr="009B04E9" w:rsidRDefault="00194513" w:rsidP="00194513">
      <w:pPr>
        <w:pStyle w:val="Telobesedila"/>
        <w:ind w:right="1134"/>
      </w:pPr>
      <w:r w:rsidRPr="009B04E9">
        <w:t>presejalna kolonoskopija SVIT iz sedanjih 259,42 EUR na 386,44 EUR</w:t>
      </w:r>
    </w:p>
    <w:p w14:paraId="70D09328" w14:textId="77777777" w:rsidR="00194513" w:rsidRPr="009B04E9" w:rsidRDefault="00194513" w:rsidP="00194513">
      <w:pPr>
        <w:pStyle w:val="Telobesedila"/>
        <w:ind w:right="1134"/>
      </w:pPr>
      <w:r w:rsidRPr="009B04E9">
        <w:t>presejalna terapevtska kolonoskopija SVIT iz sedanjih 407,21 EUR na 452,54 EUR</w:t>
      </w:r>
    </w:p>
    <w:p w14:paraId="0CAA6703" w14:textId="77777777" w:rsidR="00194513" w:rsidRPr="009B04E9" w:rsidRDefault="00194513" w:rsidP="00194513">
      <w:pPr>
        <w:pStyle w:val="Telobesedila"/>
        <w:ind w:right="1134"/>
      </w:pPr>
      <w:r w:rsidRPr="009B04E9">
        <w:t>delna kolonoskopija SVIT iz sedanjih 63,72 EUR na 72,41 EUR</w:t>
      </w:r>
    </w:p>
    <w:p w14:paraId="003E8CC6" w14:textId="77777777" w:rsidR="00194513" w:rsidRPr="009B04E9" w:rsidRDefault="00194513" w:rsidP="00194513">
      <w:pPr>
        <w:pStyle w:val="Telobesedila"/>
        <w:ind w:right="1134"/>
      </w:pPr>
      <w:r w:rsidRPr="009B04E9">
        <w:t>operativna kolonoskopija z enim nožem SVIT iz sedanjih 1.674,92 EUR na 1.777,07 EUR</w:t>
      </w:r>
    </w:p>
    <w:p w14:paraId="7AAB419F" w14:textId="77777777" w:rsidR="00194513" w:rsidRPr="009B04E9" w:rsidRDefault="00194513" w:rsidP="00194513">
      <w:pPr>
        <w:pStyle w:val="Telobesedila"/>
        <w:ind w:right="1134"/>
      </w:pPr>
      <w:r w:rsidRPr="009B04E9">
        <w:t>operativna kolonoskopija z dvema nožema SVIT iz sedanjih 2.255,60 EUR na 2.509,24 EUR</w:t>
      </w:r>
    </w:p>
    <w:p w14:paraId="17016BB9" w14:textId="7FF98BAE" w:rsidR="00194513" w:rsidRPr="009B04E9" w:rsidRDefault="00194513" w:rsidP="00194513">
      <w:pPr>
        <w:pStyle w:val="Telobesedila"/>
        <w:ind w:right="1134"/>
      </w:pPr>
      <w:r w:rsidRPr="009B04E9">
        <w:t>operativna kolonoskopija brez noža SVIT iz sedanjih 1.316,92 EUR na 1.452,56 EUR</w:t>
      </w:r>
      <w:r w:rsidR="00BD68AD">
        <w:t>.</w:t>
      </w:r>
    </w:p>
    <w:p w14:paraId="2C8E5CEB" w14:textId="77777777" w:rsidR="00194513" w:rsidRPr="009B04E9" w:rsidRDefault="00194513" w:rsidP="00194513">
      <w:pPr>
        <w:pStyle w:val="Telobesedila"/>
        <w:ind w:right="1134"/>
      </w:pPr>
    </w:p>
    <w:p w14:paraId="6C8F6C80" w14:textId="77777777" w:rsidR="00194513" w:rsidRPr="009B04E9" w:rsidRDefault="00194513" w:rsidP="00194513">
      <w:pPr>
        <w:pStyle w:val="Telobesedila"/>
        <w:ind w:right="1134"/>
      </w:pPr>
      <w:r w:rsidRPr="009B04E9">
        <w:t>26. točka</w:t>
      </w:r>
    </w:p>
    <w:p w14:paraId="55424F21" w14:textId="77777777" w:rsidR="00194513" w:rsidRPr="009B04E9" w:rsidRDefault="00194513" w:rsidP="00194513">
      <w:pPr>
        <w:pStyle w:val="Telobesedila"/>
        <w:ind w:right="1134"/>
      </w:pPr>
      <w:r w:rsidRPr="009B04E9">
        <w:t>Spremembe kalkulacij programov NMP. Pri vpeljevanju nekaterih programov zdravstvenih storitev je prišlo do izpada kalkulacij na področju amortizacije, materialnih stroškov in sredstev za informatiko.</w:t>
      </w:r>
    </w:p>
    <w:p w14:paraId="6BE27CBA" w14:textId="77777777" w:rsidR="00194513" w:rsidRPr="009B04E9" w:rsidRDefault="00194513" w:rsidP="00194513">
      <w:pPr>
        <w:pStyle w:val="Telobesedila"/>
        <w:ind w:right="1134"/>
      </w:pPr>
    </w:p>
    <w:p w14:paraId="6AD7E04E" w14:textId="77777777" w:rsidR="00194513" w:rsidRPr="009B04E9" w:rsidRDefault="00194513" w:rsidP="00194513">
      <w:pPr>
        <w:pStyle w:val="Telobesedila"/>
        <w:ind w:right="1134"/>
      </w:pPr>
      <w:r w:rsidRPr="009B04E9">
        <w:t>27. točka</w:t>
      </w:r>
    </w:p>
    <w:p w14:paraId="76C51089" w14:textId="77777777" w:rsidR="00194513" w:rsidRPr="009B04E9" w:rsidRDefault="00194513" w:rsidP="00194513">
      <w:pPr>
        <w:pStyle w:val="Telobesedila"/>
        <w:ind w:right="1134"/>
      </w:pPr>
      <w:r w:rsidRPr="009B04E9">
        <w:t>Triaža v SUC se mora izvajati na enak način kot v urgentnem centru, kjer se to izvaja z DMS v redni obliki dela. Uredba tudi določa, da mora SUC zagotoviti 24 urno prisotnost triaže in sprejema (ter opazovanje).</w:t>
      </w:r>
    </w:p>
    <w:p w14:paraId="01184FE2" w14:textId="77777777" w:rsidR="00194513" w:rsidRPr="009B04E9" w:rsidRDefault="00194513" w:rsidP="00194513">
      <w:pPr>
        <w:pStyle w:val="Telobesedila"/>
        <w:ind w:right="1134"/>
      </w:pPr>
    </w:p>
    <w:p w14:paraId="1CBD4B2C" w14:textId="77777777" w:rsidR="00194513" w:rsidRPr="009B04E9" w:rsidRDefault="00194513" w:rsidP="00194513">
      <w:pPr>
        <w:pStyle w:val="Telobesedila"/>
        <w:ind w:right="1134"/>
      </w:pPr>
      <w:r w:rsidRPr="009B04E9">
        <w:t>28. točka</w:t>
      </w:r>
    </w:p>
    <w:p w14:paraId="24F9A80F" w14:textId="70FD849A" w:rsidR="00194513" w:rsidRPr="009B04E9" w:rsidRDefault="00194513" w:rsidP="00194513">
      <w:pPr>
        <w:pStyle w:val="Telobesedila"/>
        <w:ind w:right="1134"/>
      </w:pPr>
      <w:r w:rsidRPr="009B04E9">
        <w:t>Korekcija standarda EHP</w:t>
      </w:r>
      <w:r>
        <w:t>, ker</w:t>
      </w:r>
      <w:r w:rsidRPr="009B04E9">
        <w:t xml:space="preserve"> je za delo v enoti za hitre preglede  urgentnega centra  v rednem delovnem času  najtežje zagotoviti zdravnike, še posebej zdravnike DM, saj v tem času izvajajo svojo redno dejavnost. Obstoječa kalkulacija programa je  zagotavljala plačilo ekipe samo za 6,5 ure namesto 13 ur, kolikor traja dejanski delovni čas. Prav tako je  bil obstoječi standard kadrovsko neustrezen na področju zdravstvene nega in se ga z predlogom izenačuje s standardom, ki velja v isti enoti za čas dežurstva.</w:t>
      </w:r>
    </w:p>
    <w:p w14:paraId="18B11AF6" w14:textId="77777777" w:rsidR="00194513" w:rsidRPr="009B04E9" w:rsidRDefault="00194513" w:rsidP="00194513">
      <w:pPr>
        <w:pStyle w:val="Telobesedila"/>
        <w:ind w:right="1134"/>
      </w:pPr>
    </w:p>
    <w:p w14:paraId="5D64007B" w14:textId="77777777" w:rsidR="00194513" w:rsidRPr="009B04E9" w:rsidRDefault="00194513" w:rsidP="00194513">
      <w:pPr>
        <w:pStyle w:val="Telobesedila"/>
        <w:ind w:right="1134"/>
      </w:pPr>
      <w:r w:rsidRPr="009B04E9">
        <w:t>Od 29. točke do 31. točke</w:t>
      </w:r>
    </w:p>
    <w:p w14:paraId="60735E36" w14:textId="77777777" w:rsidR="00194513" w:rsidRDefault="00194513" w:rsidP="00194513">
      <w:pPr>
        <w:pStyle w:val="Telobesedila"/>
        <w:ind w:right="1134"/>
      </w:pPr>
      <w:r>
        <w:t xml:space="preserve">Zagotovljena so sredstva za </w:t>
      </w:r>
      <w:r w:rsidRPr="009B04E9">
        <w:t xml:space="preserve">nov modeli </w:t>
      </w:r>
      <w:r>
        <w:t>plačevanja</w:t>
      </w:r>
      <w:r w:rsidRPr="009B04E9">
        <w:t xml:space="preserve"> za</w:t>
      </w:r>
      <w:r>
        <w:t xml:space="preserve"> s</w:t>
      </w:r>
      <w:r w:rsidRPr="009B04E9">
        <w:t>pecialističn</w:t>
      </w:r>
      <w:r>
        <w:t>o</w:t>
      </w:r>
      <w:r w:rsidRPr="009B04E9">
        <w:t xml:space="preserve"> zunajbolnišničn</w:t>
      </w:r>
      <w:r>
        <w:t>o</w:t>
      </w:r>
      <w:r w:rsidRPr="009B04E9">
        <w:t xml:space="preserve"> dejavnost kardiologija</w:t>
      </w:r>
      <w:r>
        <w:t>, s</w:t>
      </w:r>
      <w:r w:rsidRPr="009B04E9">
        <w:t xml:space="preserve">pecialistična zunajbolnišnična dejavnost ortopedija </w:t>
      </w:r>
      <w:r>
        <w:t>in s</w:t>
      </w:r>
      <w:r w:rsidRPr="009B04E9">
        <w:t>pecialističn</w:t>
      </w:r>
      <w:r>
        <w:t>o</w:t>
      </w:r>
      <w:r w:rsidRPr="009B04E9">
        <w:t xml:space="preserve"> zunajbolnišničn</w:t>
      </w:r>
      <w:r>
        <w:t>o</w:t>
      </w:r>
      <w:r w:rsidRPr="009B04E9">
        <w:t xml:space="preserve"> dejavnost gastoenterologija</w:t>
      </w:r>
      <w:r>
        <w:t>.</w:t>
      </w:r>
    </w:p>
    <w:p w14:paraId="44F238F3" w14:textId="77777777" w:rsidR="00194513" w:rsidRPr="009B04E9" w:rsidRDefault="00194513" w:rsidP="00194513">
      <w:pPr>
        <w:pStyle w:val="Telobesedila"/>
        <w:ind w:right="1134"/>
      </w:pPr>
    </w:p>
    <w:p w14:paraId="1B7F9B5F" w14:textId="77777777" w:rsidR="00194513" w:rsidRPr="009B04E9" w:rsidRDefault="00194513" w:rsidP="00194513">
      <w:pPr>
        <w:pStyle w:val="Telobesedila"/>
        <w:ind w:right="1134"/>
      </w:pPr>
      <w:r w:rsidRPr="009B04E9">
        <w:t>8. člen</w:t>
      </w:r>
    </w:p>
    <w:p w14:paraId="09783DDE" w14:textId="77777777" w:rsidR="00194513" w:rsidRPr="009B04E9" w:rsidRDefault="00194513" w:rsidP="00194513">
      <w:pPr>
        <w:pStyle w:val="Telobesedila"/>
        <w:ind w:right="1134"/>
      </w:pPr>
      <w:r w:rsidRPr="009B04E9">
        <w:t xml:space="preserve">S členom se posega v 98. člen Uredbe, kjer so opredeljene širitve programov oziroma uvajanje novih terapij pri zdravljenju in plačila na podlagi dejanske realizacije, in sicer: </w:t>
      </w:r>
    </w:p>
    <w:p w14:paraId="64EA2385" w14:textId="77777777" w:rsidR="00194513" w:rsidRPr="009B04E9" w:rsidRDefault="00194513" w:rsidP="00194513">
      <w:pPr>
        <w:pStyle w:val="Telobesedila"/>
        <w:ind w:right="1134"/>
      </w:pPr>
    </w:p>
    <w:p w14:paraId="0561962A" w14:textId="77777777" w:rsidR="00194513" w:rsidRPr="009B04E9" w:rsidRDefault="00194513" w:rsidP="00194513">
      <w:pPr>
        <w:pStyle w:val="Telobesedila"/>
        <w:ind w:right="1134"/>
      </w:pPr>
      <w:r w:rsidRPr="009B04E9">
        <w:t>V 71. točki tabele se spremeni odstotek preseganja točk z 20 na 40, kar  pomeni, da se plačilo iz 20% preseganja zagotavlja do 40% preseganje v vseh programih navedenih v 220. členu Uredbe</w:t>
      </w:r>
    </w:p>
    <w:p w14:paraId="0BCA6B81" w14:textId="77777777" w:rsidR="00194513" w:rsidRPr="009B04E9" w:rsidRDefault="00194513" w:rsidP="00194513">
      <w:pPr>
        <w:pStyle w:val="Telobesedila"/>
        <w:ind w:right="1134"/>
      </w:pPr>
    </w:p>
    <w:tbl>
      <w:tblPr>
        <w:tblpPr w:leftFromText="141" w:rightFromText="141" w:vertAnchor="text" w:horzAnchor="margin" w:tblpY="9"/>
        <w:tblW w:w="9177"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6" w:space="0" w:color="45B0E1" w:themeColor="accent1" w:themeTint="99"/>
          <w:insideV w:val="single" w:sz="6" w:space="0" w:color="45B0E1" w:themeColor="accent1" w:themeTint="99"/>
        </w:tblBorders>
        <w:tblCellMar>
          <w:left w:w="70" w:type="dxa"/>
          <w:right w:w="70" w:type="dxa"/>
        </w:tblCellMar>
        <w:tblLook w:val="04A0" w:firstRow="1" w:lastRow="0" w:firstColumn="1" w:lastColumn="0" w:noHBand="0" w:noVBand="1"/>
      </w:tblPr>
      <w:tblGrid>
        <w:gridCol w:w="2283"/>
        <w:gridCol w:w="2694"/>
        <w:gridCol w:w="2282"/>
        <w:gridCol w:w="3191"/>
      </w:tblGrid>
      <w:tr w:rsidR="00194513" w:rsidRPr="009B04E9" w14:paraId="3B22BBAA" w14:textId="77777777" w:rsidTr="002E5A0E">
        <w:trPr>
          <w:trHeight w:hRule="exact" w:val="1144"/>
        </w:trPr>
        <w:tc>
          <w:tcPr>
            <w:tcW w:w="1462" w:type="dxa"/>
            <w:tcBorders>
              <w:top w:val="single" w:sz="4"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tcPr>
          <w:p w14:paraId="6F8AE7B6" w14:textId="77777777" w:rsidR="00194513" w:rsidRPr="009B04E9" w:rsidRDefault="00194513" w:rsidP="002E5A0E">
            <w:pPr>
              <w:pStyle w:val="Telobesedila"/>
              <w:ind w:right="1134"/>
            </w:pPr>
            <w:r w:rsidRPr="009B04E9">
              <w:t>Vrsta in podvrsta zdravstvene dejavnosti</w:t>
            </w:r>
          </w:p>
          <w:p w14:paraId="3EE825A2" w14:textId="77777777" w:rsidR="00194513" w:rsidRPr="009B04E9" w:rsidRDefault="00194513" w:rsidP="002E5A0E">
            <w:pPr>
              <w:pStyle w:val="Telobesedila"/>
              <w:ind w:right="1134"/>
            </w:pPr>
          </w:p>
        </w:tc>
        <w:tc>
          <w:tcPr>
            <w:tcW w:w="2862" w:type="dxa"/>
            <w:tcBorders>
              <w:top w:val="single" w:sz="4"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6AF87CB5" w14:textId="77777777" w:rsidR="00194513" w:rsidRPr="009B04E9" w:rsidRDefault="00194513" w:rsidP="002E5A0E">
            <w:pPr>
              <w:pStyle w:val="Telobesedila"/>
              <w:ind w:right="1134"/>
            </w:pPr>
            <w:r w:rsidRPr="009B04E9">
              <w:t>Naziv dejavnosti</w:t>
            </w:r>
          </w:p>
        </w:tc>
        <w:tc>
          <w:tcPr>
            <w:tcW w:w="1462" w:type="dxa"/>
            <w:tcBorders>
              <w:top w:val="single" w:sz="4"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tcPr>
          <w:p w14:paraId="59D5292F" w14:textId="77777777" w:rsidR="00194513" w:rsidRPr="009B04E9" w:rsidRDefault="00194513" w:rsidP="002E5A0E">
            <w:pPr>
              <w:pStyle w:val="Telobesedila"/>
              <w:ind w:right="1134"/>
            </w:pPr>
            <w:r w:rsidRPr="009B04E9">
              <w:t>Vrsta in podvrsta zdravstvene dejavnosti</w:t>
            </w:r>
          </w:p>
          <w:p w14:paraId="6199CC9C" w14:textId="77777777" w:rsidR="00194513" w:rsidRPr="009B04E9" w:rsidRDefault="00194513" w:rsidP="002E5A0E">
            <w:pPr>
              <w:pStyle w:val="Telobesedila"/>
              <w:ind w:right="1134"/>
            </w:pPr>
          </w:p>
        </w:tc>
        <w:tc>
          <w:tcPr>
            <w:tcW w:w="3391" w:type="dxa"/>
            <w:tcBorders>
              <w:top w:val="single" w:sz="4"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644B6306" w14:textId="77777777" w:rsidR="00194513" w:rsidRPr="009B04E9" w:rsidRDefault="00194513" w:rsidP="002E5A0E">
            <w:pPr>
              <w:pStyle w:val="Telobesedila"/>
              <w:ind w:right="1134"/>
            </w:pPr>
            <w:r w:rsidRPr="009B04E9">
              <w:t>Naziv dejavnosti</w:t>
            </w:r>
          </w:p>
        </w:tc>
      </w:tr>
      <w:tr w:rsidR="00194513" w:rsidRPr="009B04E9" w14:paraId="4E1144E8" w14:textId="77777777" w:rsidTr="002E5A0E">
        <w:trPr>
          <w:trHeight w:hRule="exact" w:val="298"/>
        </w:trPr>
        <w:tc>
          <w:tcPr>
            <w:tcW w:w="1462"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3E864478" w14:textId="77777777" w:rsidR="00194513" w:rsidRPr="009B04E9" w:rsidRDefault="00194513" w:rsidP="002E5A0E">
            <w:pPr>
              <w:pStyle w:val="Telobesedila"/>
              <w:ind w:right="1134"/>
            </w:pPr>
            <w:r w:rsidRPr="009B04E9">
              <w:t>204 205</w:t>
            </w:r>
          </w:p>
        </w:tc>
        <w:tc>
          <w:tcPr>
            <w:tcW w:w="28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3FFD9605" w14:textId="77777777" w:rsidR="00194513" w:rsidRPr="009B04E9" w:rsidRDefault="00194513" w:rsidP="002E5A0E">
            <w:pPr>
              <w:pStyle w:val="Telobesedila"/>
              <w:ind w:right="1134"/>
            </w:pPr>
            <w:r w:rsidRPr="009B04E9">
              <w:t>rehabilitacija</w:t>
            </w:r>
          </w:p>
        </w:tc>
        <w:tc>
          <w:tcPr>
            <w:tcW w:w="14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7E712344" w14:textId="77777777" w:rsidR="00194513" w:rsidRPr="009B04E9" w:rsidRDefault="00194513" w:rsidP="002E5A0E">
            <w:pPr>
              <w:pStyle w:val="Telobesedila"/>
              <w:ind w:right="1134"/>
            </w:pPr>
            <w:r w:rsidRPr="009B04E9">
              <w:t>209 240</w:t>
            </w:r>
          </w:p>
        </w:tc>
        <w:tc>
          <w:tcPr>
            <w:tcW w:w="3391"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5562E5A8" w14:textId="77777777" w:rsidR="00194513" w:rsidRPr="009B04E9" w:rsidRDefault="00194513" w:rsidP="002E5A0E">
            <w:pPr>
              <w:pStyle w:val="Telobesedila"/>
              <w:ind w:right="1134"/>
            </w:pPr>
            <w:r w:rsidRPr="009B04E9">
              <w:t>alergologija</w:t>
            </w:r>
          </w:p>
        </w:tc>
      </w:tr>
      <w:tr w:rsidR="00194513" w:rsidRPr="009B04E9" w14:paraId="1667EC2D" w14:textId="77777777" w:rsidTr="002E5A0E">
        <w:trPr>
          <w:trHeight w:hRule="exact" w:val="415"/>
        </w:trPr>
        <w:tc>
          <w:tcPr>
            <w:tcW w:w="1462"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078D612F" w14:textId="77777777" w:rsidR="00194513" w:rsidRPr="009B04E9" w:rsidRDefault="00194513" w:rsidP="002E5A0E">
            <w:pPr>
              <w:pStyle w:val="Telobesedila"/>
              <w:ind w:right="1134"/>
            </w:pPr>
            <w:r w:rsidRPr="009B04E9">
              <w:t>204 207</w:t>
            </w:r>
          </w:p>
        </w:tc>
        <w:tc>
          <w:tcPr>
            <w:tcW w:w="28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55D606F0" w14:textId="77777777" w:rsidR="00194513" w:rsidRPr="009B04E9" w:rsidRDefault="00194513" w:rsidP="002E5A0E">
            <w:pPr>
              <w:pStyle w:val="Telobesedila"/>
              <w:ind w:right="1134"/>
            </w:pPr>
            <w:r w:rsidRPr="009B04E9">
              <w:t>fiziatrija</w:t>
            </w:r>
          </w:p>
        </w:tc>
        <w:tc>
          <w:tcPr>
            <w:tcW w:w="14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0ED50E3E" w14:textId="77777777" w:rsidR="00194513" w:rsidRPr="009B04E9" w:rsidRDefault="00194513" w:rsidP="002E5A0E">
            <w:pPr>
              <w:pStyle w:val="Telobesedila"/>
              <w:ind w:right="1134"/>
            </w:pPr>
            <w:r w:rsidRPr="009B04E9">
              <w:t>215 224</w:t>
            </w:r>
          </w:p>
        </w:tc>
        <w:tc>
          <w:tcPr>
            <w:tcW w:w="3391"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1E9006F7" w14:textId="77777777" w:rsidR="00194513" w:rsidRPr="009B04E9" w:rsidRDefault="00194513" w:rsidP="002E5A0E">
            <w:pPr>
              <w:pStyle w:val="Telobesedila"/>
              <w:ind w:right="1134"/>
            </w:pPr>
            <w:r w:rsidRPr="009B04E9">
              <w:t>maksilofacialna kirurgija</w:t>
            </w:r>
          </w:p>
        </w:tc>
      </w:tr>
      <w:tr w:rsidR="00194513" w:rsidRPr="009B04E9" w14:paraId="740A615E" w14:textId="77777777" w:rsidTr="002E5A0E">
        <w:trPr>
          <w:trHeight w:hRule="exact" w:val="280"/>
        </w:trPr>
        <w:tc>
          <w:tcPr>
            <w:tcW w:w="1462"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2BDC47E6" w14:textId="77777777" w:rsidR="00194513" w:rsidRPr="009B04E9" w:rsidRDefault="00194513" w:rsidP="002E5A0E">
            <w:pPr>
              <w:pStyle w:val="Telobesedila"/>
              <w:ind w:right="1134"/>
            </w:pPr>
            <w:r w:rsidRPr="009B04E9">
              <w:t>206 209</w:t>
            </w:r>
          </w:p>
        </w:tc>
        <w:tc>
          <w:tcPr>
            <w:tcW w:w="28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3CBF1C52" w14:textId="77777777" w:rsidR="00194513" w:rsidRPr="009B04E9" w:rsidRDefault="00194513" w:rsidP="002E5A0E">
            <w:pPr>
              <w:pStyle w:val="Telobesedila"/>
              <w:ind w:right="1134"/>
            </w:pPr>
            <w:r w:rsidRPr="009B04E9">
              <w:t>ginekologija</w:t>
            </w:r>
          </w:p>
        </w:tc>
        <w:tc>
          <w:tcPr>
            <w:tcW w:w="14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0AAE407F" w14:textId="77777777" w:rsidR="00194513" w:rsidRPr="009B04E9" w:rsidRDefault="00194513" w:rsidP="002E5A0E">
            <w:pPr>
              <w:pStyle w:val="Telobesedila"/>
              <w:ind w:right="1134"/>
            </w:pPr>
            <w:r w:rsidRPr="009B04E9">
              <w:t>220 229</w:t>
            </w:r>
          </w:p>
        </w:tc>
        <w:tc>
          <w:tcPr>
            <w:tcW w:w="3391"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59ECFF48" w14:textId="77777777" w:rsidR="00194513" w:rsidRPr="009B04E9" w:rsidRDefault="00194513" w:rsidP="002E5A0E">
            <w:pPr>
              <w:pStyle w:val="Telobesedila"/>
              <w:ind w:right="1134"/>
            </w:pPr>
            <w:r w:rsidRPr="009B04E9">
              <w:t>okulistika</w:t>
            </w:r>
          </w:p>
        </w:tc>
      </w:tr>
      <w:tr w:rsidR="00194513" w:rsidRPr="009B04E9" w14:paraId="6A89928D" w14:textId="77777777" w:rsidTr="002E5A0E">
        <w:trPr>
          <w:trHeight w:hRule="exact" w:val="284"/>
        </w:trPr>
        <w:tc>
          <w:tcPr>
            <w:tcW w:w="1462"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4D4648C9" w14:textId="77777777" w:rsidR="00194513" w:rsidRPr="009B04E9" w:rsidRDefault="00194513" w:rsidP="002E5A0E">
            <w:pPr>
              <w:pStyle w:val="Telobesedila"/>
              <w:ind w:right="1134"/>
            </w:pPr>
            <w:r w:rsidRPr="009B04E9">
              <w:t>206 212</w:t>
            </w:r>
          </w:p>
        </w:tc>
        <w:tc>
          <w:tcPr>
            <w:tcW w:w="28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1C6327C1" w14:textId="77777777" w:rsidR="00194513" w:rsidRPr="009B04E9" w:rsidRDefault="00194513" w:rsidP="002E5A0E">
            <w:pPr>
              <w:pStyle w:val="Telobesedila"/>
              <w:ind w:right="1134"/>
            </w:pPr>
            <w:r w:rsidRPr="009B04E9">
              <w:t>zdravljenje neplodnosti</w:t>
            </w:r>
          </w:p>
        </w:tc>
        <w:tc>
          <w:tcPr>
            <w:tcW w:w="14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22F8DDB3" w14:textId="77777777" w:rsidR="00194513" w:rsidRPr="009B04E9" w:rsidRDefault="00194513" w:rsidP="002E5A0E">
            <w:pPr>
              <w:pStyle w:val="Telobesedila"/>
              <w:ind w:right="1134"/>
            </w:pPr>
            <w:r w:rsidRPr="009B04E9">
              <w:t>230 241</w:t>
            </w:r>
          </w:p>
        </w:tc>
        <w:tc>
          <w:tcPr>
            <w:tcW w:w="3391"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405DD38D" w14:textId="77777777" w:rsidR="00194513" w:rsidRPr="009B04E9" w:rsidRDefault="00194513" w:rsidP="002E5A0E">
            <w:pPr>
              <w:pStyle w:val="Telobesedila"/>
              <w:ind w:right="1134"/>
            </w:pPr>
            <w:r w:rsidRPr="009B04E9">
              <w:t>psihiatrija</w:t>
            </w:r>
          </w:p>
        </w:tc>
      </w:tr>
      <w:tr w:rsidR="00194513" w:rsidRPr="009B04E9" w14:paraId="3DFAA42F" w14:textId="77777777" w:rsidTr="002E5A0E">
        <w:trPr>
          <w:trHeight w:hRule="exact" w:val="430"/>
        </w:trPr>
        <w:tc>
          <w:tcPr>
            <w:tcW w:w="1462"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3AC80C41" w14:textId="77777777" w:rsidR="00194513" w:rsidRPr="009B04E9" w:rsidRDefault="00194513" w:rsidP="002E5A0E">
            <w:pPr>
              <w:pStyle w:val="Telobesedila"/>
              <w:ind w:right="1134"/>
            </w:pPr>
            <w:r w:rsidRPr="009B04E9">
              <w:t>208 214</w:t>
            </w:r>
          </w:p>
        </w:tc>
        <w:tc>
          <w:tcPr>
            <w:tcW w:w="28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278AFC12" w14:textId="77777777" w:rsidR="00194513" w:rsidRPr="009B04E9" w:rsidRDefault="00194513" w:rsidP="002E5A0E">
            <w:pPr>
              <w:pStyle w:val="Telobesedila"/>
              <w:ind w:right="1134"/>
            </w:pPr>
            <w:r w:rsidRPr="009B04E9">
              <w:t>infektologija</w:t>
            </w:r>
          </w:p>
        </w:tc>
        <w:tc>
          <w:tcPr>
            <w:tcW w:w="14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19F50BF1" w14:textId="77777777" w:rsidR="00194513" w:rsidRPr="009B04E9" w:rsidRDefault="00194513" w:rsidP="002E5A0E">
            <w:pPr>
              <w:pStyle w:val="Telobesedila"/>
              <w:ind w:right="1134"/>
            </w:pPr>
            <w:r w:rsidRPr="009B04E9">
              <w:t>234 251</w:t>
            </w:r>
          </w:p>
        </w:tc>
        <w:tc>
          <w:tcPr>
            <w:tcW w:w="3391"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68D7E860" w14:textId="77777777" w:rsidR="00194513" w:rsidRPr="009B04E9" w:rsidRDefault="00194513" w:rsidP="002E5A0E">
            <w:pPr>
              <w:pStyle w:val="Telobesedila"/>
              <w:ind w:right="1134"/>
            </w:pPr>
            <w:r w:rsidRPr="009B04E9">
              <w:t>splošna kirurgija</w:t>
            </w:r>
          </w:p>
        </w:tc>
      </w:tr>
      <w:tr w:rsidR="00194513" w:rsidRPr="009B04E9" w14:paraId="2AE6FB21" w14:textId="77777777" w:rsidTr="002E5A0E">
        <w:trPr>
          <w:trHeight w:hRule="exact" w:val="280"/>
        </w:trPr>
        <w:tc>
          <w:tcPr>
            <w:tcW w:w="1462"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53797BD6" w14:textId="77777777" w:rsidR="00194513" w:rsidRPr="009B04E9" w:rsidRDefault="00194513" w:rsidP="002E5A0E">
            <w:pPr>
              <w:pStyle w:val="Telobesedila"/>
              <w:ind w:right="1134"/>
            </w:pPr>
            <w:r w:rsidRPr="009B04E9">
              <w:t>209 215</w:t>
            </w:r>
          </w:p>
        </w:tc>
        <w:tc>
          <w:tcPr>
            <w:tcW w:w="28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769095A2" w14:textId="77777777" w:rsidR="00194513" w:rsidRPr="009B04E9" w:rsidRDefault="00194513" w:rsidP="002E5A0E">
            <w:pPr>
              <w:pStyle w:val="Telobesedila"/>
              <w:ind w:right="1134"/>
            </w:pPr>
            <w:r w:rsidRPr="009B04E9">
              <w:t>internistika</w:t>
            </w:r>
          </w:p>
        </w:tc>
        <w:tc>
          <w:tcPr>
            <w:tcW w:w="1462"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23C96057" w14:textId="77777777" w:rsidR="00194513" w:rsidRPr="009B04E9" w:rsidRDefault="00194513" w:rsidP="002E5A0E">
            <w:pPr>
              <w:pStyle w:val="Telobesedila"/>
              <w:ind w:right="1134"/>
            </w:pPr>
            <w:r w:rsidRPr="009B04E9">
              <w:t>249 216</w:t>
            </w:r>
          </w:p>
        </w:tc>
        <w:tc>
          <w:tcPr>
            <w:tcW w:w="3391"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7F81A013" w14:textId="77777777" w:rsidR="00194513" w:rsidRPr="009B04E9" w:rsidRDefault="00194513" w:rsidP="002E5A0E">
            <w:pPr>
              <w:pStyle w:val="Telobesedila"/>
              <w:ind w:right="1134"/>
            </w:pPr>
            <w:r w:rsidRPr="009B04E9">
              <w:t>diabetologija</w:t>
            </w:r>
          </w:p>
        </w:tc>
      </w:tr>
      <w:tr w:rsidR="00194513" w:rsidRPr="009B04E9" w14:paraId="6C11F7FE" w14:textId="77777777" w:rsidTr="002E5A0E">
        <w:trPr>
          <w:trHeight w:hRule="exact" w:val="302"/>
        </w:trPr>
        <w:tc>
          <w:tcPr>
            <w:tcW w:w="1462" w:type="dxa"/>
            <w:tcBorders>
              <w:top w:val="single" w:sz="6" w:space="0" w:color="45B0E1" w:themeColor="accent1" w:themeTint="99"/>
              <w:left w:val="single" w:sz="4" w:space="0" w:color="45B0E1" w:themeColor="accent1" w:themeTint="99"/>
              <w:bottom w:val="single" w:sz="4" w:space="0" w:color="45B0E1" w:themeColor="accent1" w:themeTint="99"/>
              <w:right w:val="single" w:sz="6" w:space="0" w:color="45B0E1" w:themeColor="accent1" w:themeTint="99"/>
            </w:tcBorders>
            <w:noWrap/>
            <w:vAlign w:val="bottom"/>
          </w:tcPr>
          <w:p w14:paraId="7A3CEF23" w14:textId="77777777" w:rsidR="00194513" w:rsidRPr="009B04E9" w:rsidRDefault="00194513" w:rsidP="002E5A0E">
            <w:pPr>
              <w:pStyle w:val="Telobesedila"/>
              <w:ind w:right="1134"/>
            </w:pPr>
          </w:p>
        </w:tc>
        <w:tc>
          <w:tcPr>
            <w:tcW w:w="2862" w:type="dxa"/>
            <w:tcBorders>
              <w:top w:val="single" w:sz="6" w:space="0" w:color="45B0E1" w:themeColor="accent1" w:themeTint="99"/>
              <w:left w:val="single" w:sz="6" w:space="0" w:color="45B0E1" w:themeColor="accent1" w:themeTint="99"/>
              <w:bottom w:val="single" w:sz="4" w:space="0" w:color="45B0E1" w:themeColor="accent1" w:themeTint="99"/>
              <w:right w:val="single" w:sz="6" w:space="0" w:color="45B0E1" w:themeColor="accent1" w:themeTint="99"/>
            </w:tcBorders>
            <w:noWrap/>
            <w:vAlign w:val="center"/>
          </w:tcPr>
          <w:p w14:paraId="0EAEFCDE" w14:textId="77777777" w:rsidR="00194513" w:rsidRPr="009B04E9" w:rsidRDefault="00194513" w:rsidP="002E5A0E">
            <w:pPr>
              <w:pStyle w:val="Telobesedila"/>
              <w:ind w:right="1134"/>
            </w:pPr>
          </w:p>
        </w:tc>
        <w:tc>
          <w:tcPr>
            <w:tcW w:w="1462" w:type="dxa"/>
            <w:tcBorders>
              <w:top w:val="single" w:sz="6" w:space="0" w:color="45B0E1" w:themeColor="accent1" w:themeTint="99"/>
              <w:left w:val="single" w:sz="6" w:space="0" w:color="45B0E1" w:themeColor="accent1" w:themeTint="99"/>
              <w:bottom w:val="single" w:sz="4" w:space="0" w:color="45B0E1" w:themeColor="accent1" w:themeTint="99"/>
              <w:right w:val="single" w:sz="6" w:space="0" w:color="45B0E1" w:themeColor="accent1" w:themeTint="99"/>
            </w:tcBorders>
            <w:noWrap/>
            <w:vAlign w:val="bottom"/>
            <w:hideMark/>
          </w:tcPr>
          <w:p w14:paraId="6A277A88" w14:textId="77777777" w:rsidR="00194513" w:rsidRPr="009B04E9" w:rsidRDefault="00194513" w:rsidP="002E5A0E">
            <w:pPr>
              <w:pStyle w:val="Telobesedila"/>
              <w:ind w:right="1134"/>
            </w:pPr>
            <w:r w:rsidRPr="009B04E9">
              <w:t>249 217</w:t>
            </w:r>
          </w:p>
        </w:tc>
        <w:tc>
          <w:tcPr>
            <w:tcW w:w="3391" w:type="dxa"/>
            <w:tcBorders>
              <w:top w:val="single" w:sz="6" w:space="0" w:color="45B0E1" w:themeColor="accent1" w:themeTint="99"/>
              <w:left w:val="single" w:sz="6" w:space="0" w:color="45B0E1" w:themeColor="accent1" w:themeTint="99"/>
              <w:bottom w:val="single" w:sz="4" w:space="0" w:color="45B0E1" w:themeColor="accent1" w:themeTint="99"/>
              <w:right w:val="single" w:sz="4" w:space="0" w:color="45B0E1" w:themeColor="accent1" w:themeTint="99"/>
            </w:tcBorders>
            <w:noWrap/>
            <w:vAlign w:val="center"/>
            <w:hideMark/>
          </w:tcPr>
          <w:p w14:paraId="0794A1DB" w14:textId="77777777" w:rsidR="00194513" w:rsidRPr="009B04E9" w:rsidRDefault="00194513" w:rsidP="002E5A0E">
            <w:pPr>
              <w:pStyle w:val="Telobesedila"/>
              <w:ind w:right="1134"/>
            </w:pPr>
            <w:r w:rsidRPr="009B04E9">
              <w:t>tireologija</w:t>
            </w:r>
          </w:p>
        </w:tc>
      </w:tr>
    </w:tbl>
    <w:p w14:paraId="0863B646" w14:textId="77777777" w:rsidR="00194513" w:rsidRPr="009B04E9" w:rsidRDefault="00194513" w:rsidP="00194513">
      <w:pPr>
        <w:pStyle w:val="Telobesedila"/>
        <w:ind w:right="1134"/>
      </w:pPr>
    </w:p>
    <w:p w14:paraId="74545D97" w14:textId="77777777" w:rsidR="00194513" w:rsidRPr="009B04E9" w:rsidRDefault="00194513" w:rsidP="00194513">
      <w:pPr>
        <w:pStyle w:val="Telobesedila"/>
        <w:ind w:right="1134"/>
      </w:pPr>
      <w:r w:rsidRPr="009B04E9">
        <w:t>V 80. točki tabele je navedeno, da OZG pridobi širitev oftalmologije za 0,8 tima (iz 0,2 tima na 1 tim).</w:t>
      </w:r>
    </w:p>
    <w:p w14:paraId="6397529A" w14:textId="77777777" w:rsidR="00194513" w:rsidRPr="009B04E9" w:rsidRDefault="00194513" w:rsidP="00194513">
      <w:pPr>
        <w:pStyle w:val="Telobesedila"/>
        <w:ind w:right="1134"/>
      </w:pPr>
    </w:p>
    <w:p w14:paraId="3F48DBC0" w14:textId="77777777" w:rsidR="00194513" w:rsidRPr="009B04E9" w:rsidRDefault="00194513" w:rsidP="00194513">
      <w:pPr>
        <w:pStyle w:val="Telobesedila"/>
        <w:ind w:right="1134"/>
      </w:pPr>
      <w:r w:rsidRPr="009B04E9">
        <w:t xml:space="preserve">V tabelo se dodajajo nove 183. do 269. točke: </w:t>
      </w:r>
    </w:p>
    <w:p w14:paraId="69232D9D" w14:textId="77777777" w:rsidR="00194513" w:rsidRPr="009B04E9" w:rsidRDefault="00194513" w:rsidP="00194513">
      <w:pPr>
        <w:pStyle w:val="Telobesedila"/>
        <w:ind w:right="1134"/>
      </w:pPr>
    </w:p>
    <w:p w14:paraId="0599CA36" w14:textId="77777777" w:rsidR="00194513" w:rsidRPr="009B04E9" w:rsidRDefault="00194513" w:rsidP="00194513">
      <w:pPr>
        <w:pStyle w:val="Telobesedila"/>
        <w:ind w:right="1134"/>
      </w:pPr>
      <w:r w:rsidRPr="009B04E9">
        <w:t xml:space="preserve">183. točka: </w:t>
      </w:r>
      <w:r>
        <w:t>Č</w:t>
      </w:r>
      <w:r w:rsidRPr="009B04E9">
        <w:t xml:space="preserve">rtani </w:t>
      </w:r>
      <w:r>
        <w:t xml:space="preserve">so bili </w:t>
      </w:r>
      <w:r w:rsidRPr="009B04E9">
        <w:t xml:space="preserve">izvajalci, ki programa družinske obravnave za zdrav življenjski slog ne opravljajo </w:t>
      </w:r>
    </w:p>
    <w:p w14:paraId="77EF3BDA" w14:textId="77777777" w:rsidR="00194513" w:rsidRPr="009B04E9" w:rsidRDefault="00194513" w:rsidP="00194513">
      <w:pPr>
        <w:pStyle w:val="Telobesedila"/>
        <w:ind w:right="1134"/>
      </w:pPr>
    </w:p>
    <w:p w14:paraId="2FD809EA" w14:textId="77777777" w:rsidR="00194513" w:rsidRPr="009B04E9" w:rsidRDefault="00194513" w:rsidP="00194513">
      <w:pPr>
        <w:pStyle w:val="Telobesedila"/>
        <w:ind w:right="1134"/>
      </w:pPr>
      <w:r w:rsidRPr="009B04E9">
        <w:t xml:space="preserve">184.- 250. točka: </w:t>
      </w:r>
      <w:bookmarkStart w:id="1" w:name="_Hlk167988821"/>
      <w:r w:rsidRPr="009B04E9">
        <w:t xml:space="preserve">Zaradi zagotovitve nujnih pogojev za izboljšanje dostopnosti so določene dodatne širitve, predvsem v okviru dejavnosti fizioterapija. </w:t>
      </w:r>
    </w:p>
    <w:bookmarkEnd w:id="1"/>
    <w:p w14:paraId="0E012942" w14:textId="77777777" w:rsidR="00194513" w:rsidRPr="009B04E9" w:rsidRDefault="00194513" w:rsidP="00194513">
      <w:pPr>
        <w:pStyle w:val="Telobesedila"/>
        <w:ind w:right="1134"/>
      </w:pPr>
    </w:p>
    <w:p w14:paraId="5D9874E2" w14:textId="77777777" w:rsidR="00194513" w:rsidRPr="009B04E9" w:rsidRDefault="00194513" w:rsidP="00194513">
      <w:pPr>
        <w:pStyle w:val="Telobesedila"/>
        <w:ind w:right="1134"/>
      </w:pPr>
      <w:r w:rsidRPr="009B04E9">
        <w:t xml:space="preserve">251. točka: Program razvojne ambulante se plača brez omejevanja; tako so plačani vsi ostali zdravstveni programi obravnave otrok. </w:t>
      </w:r>
    </w:p>
    <w:p w14:paraId="3CC8ECE0" w14:textId="77777777" w:rsidR="00194513" w:rsidRPr="009B04E9" w:rsidRDefault="00194513" w:rsidP="00194513">
      <w:pPr>
        <w:pStyle w:val="Telobesedila"/>
        <w:ind w:right="1134"/>
      </w:pPr>
    </w:p>
    <w:p w14:paraId="03342100" w14:textId="77777777" w:rsidR="00194513" w:rsidRPr="009B04E9" w:rsidRDefault="00194513" w:rsidP="00194513">
      <w:pPr>
        <w:pStyle w:val="Telobesedila"/>
        <w:ind w:right="1134"/>
      </w:pPr>
      <w:r w:rsidRPr="009B04E9">
        <w:t xml:space="preserve">253. točka: Sprejeto je, da se operacije na ožilju plačujejo brez omejitev. </w:t>
      </w:r>
    </w:p>
    <w:p w14:paraId="01E2A564" w14:textId="77777777" w:rsidR="00194513" w:rsidRPr="009B04E9" w:rsidRDefault="00194513" w:rsidP="00194513">
      <w:pPr>
        <w:pStyle w:val="Telobesedila"/>
        <w:ind w:right="1134"/>
      </w:pPr>
    </w:p>
    <w:p w14:paraId="6EEF9D22" w14:textId="77777777" w:rsidR="00194513" w:rsidRPr="009B04E9" w:rsidRDefault="00194513" w:rsidP="00194513">
      <w:pPr>
        <w:pStyle w:val="Telobesedila"/>
        <w:ind w:right="1134"/>
      </w:pPr>
      <w:r w:rsidRPr="009B04E9">
        <w:t>265. točka: Širitev Družinske obravnave za zdrav življenjski slog, pediatrični tim vključuje zdravstvene domove, ki še nimajo dogovorjenega programa z Zavodom, imajo pa zaposlen kader oziroma bo le ta zaposlen po pridobljenih sredstvih.</w:t>
      </w:r>
    </w:p>
    <w:p w14:paraId="796C0DD7" w14:textId="77777777" w:rsidR="00194513" w:rsidRPr="009B04E9" w:rsidRDefault="00194513" w:rsidP="00194513">
      <w:pPr>
        <w:pStyle w:val="Telobesedila"/>
        <w:ind w:right="1134"/>
      </w:pPr>
    </w:p>
    <w:p w14:paraId="415BEA6A" w14:textId="77777777" w:rsidR="00194513" w:rsidRPr="009B04E9" w:rsidRDefault="00194513" w:rsidP="00194513">
      <w:pPr>
        <w:pStyle w:val="Telobesedila"/>
        <w:ind w:right="1134"/>
      </w:pPr>
      <w:r w:rsidRPr="009B04E9">
        <w:t>266. točka: Zagotavlja se Paliativno obravnavo otrok Pediatrični kliniki UKC Ljubljana.</w:t>
      </w:r>
    </w:p>
    <w:p w14:paraId="7E3CC157" w14:textId="77777777" w:rsidR="00194513" w:rsidRPr="009B04E9" w:rsidRDefault="00194513" w:rsidP="00194513">
      <w:pPr>
        <w:pStyle w:val="Telobesedila"/>
        <w:ind w:right="1134"/>
      </w:pPr>
    </w:p>
    <w:p w14:paraId="7BD228D4" w14:textId="77777777" w:rsidR="00194513" w:rsidRPr="009B04E9" w:rsidRDefault="00194513" w:rsidP="00194513">
      <w:pPr>
        <w:pStyle w:val="Telobesedila"/>
        <w:ind w:right="1134"/>
      </w:pPr>
      <w:r w:rsidRPr="009B04E9">
        <w:t>267. točka: Zagotavlja se širitev programa UKC Ljubljana za Kirurško zdravljenje otrok s prirojeno srčno napako. Po do sedaj veljavni uredbi ima UKC Ljubljana, Pediatrična klinika v okviru namenskih sredstev za terciar priznanih le 25 primerov; s spremembo se zagotavlja povečanje za dodatnih 45 primerov.</w:t>
      </w:r>
    </w:p>
    <w:p w14:paraId="48754187" w14:textId="77777777" w:rsidR="00194513" w:rsidRPr="009B04E9" w:rsidRDefault="00194513" w:rsidP="00194513">
      <w:pPr>
        <w:pStyle w:val="Telobesedila"/>
        <w:ind w:right="1134"/>
      </w:pPr>
    </w:p>
    <w:p w14:paraId="555FC344" w14:textId="77777777" w:rsidR="00194513" w:rsidRPr="009B04E9" w:rsidRDefault="00194513" w:rsidP="00194513">
      <w:pPr>
        <w:pStyle w:val="Telobesedila"/>
        <w:ind w:right="1134"/>
      </w:pPr>
    </w:p>
    <w:p w14:paraId="55D2DEC5" w14:textId="77777777" w:rsidR="00194513" w:rsidRPr="009B04E9" w:rsidRDefault="00194513" w:rsidP="00194513">
      <w:pPr>
        <w:pStyle w:val="Telobesedila"/>
        <w:ind w:right="1134"/>
      </w:pPr>
      <w:r w:rsidRPr="009B04E9">
        <w:t>9. člen</w:t>
      </w:r>
    </w:p>
    <w:p w14:paraId="15B907F5" w14:textId="77777777" w:rsidR="00194513" w:rsidRPr="009B04E9" w:rsidRDefault="00194513" w:rsidP="00194513">
      <w:pPr>
        <w:pStyle w:val="Telobesedila"/>
        <w:ind w:right="1134"/>
      </w:pPr>
      <w:r w:rsidRPr="009B04E9">
        <w:t>V 117. členu se določa ordinacijski čas za izvajanje dejavnosti rentgena. Ordinacijski čas se določi za čas delovanja inženirja radiologije in znaša za 1 tim 96,9 ur efektivnega dela na teden.</w:t>
      </w:r>
    </w:p>
    <w:p w14:paraId="7672F40E" w14:textId="77777777" w:rsidR="00194513" w:rsidRPr="009B04E9" w:rsidRDefault="00194513" w:rsidP="00194513">
      <w:pPr>
        <w:pStyle w:val="Telobesedila"/>
        <w:ind w:right="1134"/>
      </w:pPr>
    </w:p>
    <w:p w14:paraId="3309A3D0" w14:textId="77777777" w:rsidR="00194513" w:rsidRPr="009B04E9" w:rsidRDefault="00194513" w:rsidP="00194513">
      <w:pPr>
        <w:pStyle w:val="Telobesedila"/>
        <w:ind w:right="1134"/>
      </w:pPr>
      <w:r w:rsidRPr="009B04E9">
        <w:t xml:space="preserve">10. člen </w:t>
      </w:r>
    </w:p>
    <w:p w14:paraId="13DE3D9A" w14:textId="77777777" w:rsidR="00194513" w:rsidRPr="009B04E9" w:rsidRDefault="00194513" w:rsidP="00194513">
      <w:pPr>
        <w:pStyle w:val="Telobesedila"/>
        <w:ind w:right="1134"/>
      </w:pPr>
      <w:r w:rsidRPr="009B04E9">
        <w:t xml:space="preserve">S členom se v 127. členu Uredbe se črta drugi odstavek, ki se nanaša na obveznost poročanja v zvezi  z vstavitvijo, zamenjavo ali odstranitvijo kolčne ali kolenske endoproteze ali njen del </w:t>
      </w:r>
      <w:r>
        <w:t>e</w:t>
      </w:r>
      <w:r w:rsidRPr="009B04E9">
        <w:t xml:space="preserve">ndoprotetike. </w:t>
      </w:r>
    </w:p>
    <w:p w14:paraId="4FEE0B05" w14:textId="77777777" w:rsidR="00194513" w:rsidRPr="009B04E9" w:rsidRDefault="00194513" w:rsidP="00194513">
      <w:pPr>
        <w:pStyle w:val="Telobesedila"/>
        <w:ind w:right="1134"/>
      </w:pPr>
    </w:p>
    <w:p w14:paraId="7A29A2FE" w14:textId="77777777" w:rsidR="00194513" w:rsidRPr="009B04E9" w:rsidRDefault="00194513" w:rsidP="00194513">
      <w:pPr>
        <w:pStyle w:val="Telobesedila"/>
        <w:ind w:right="1134"/>
      </w:pPr>
      <w:r w:rsidRPr="009B04E9">
        <w:t>11. člen</w:t>
      </w:r>
    </w:p>
    <w:p w14:paraId="2A5EE4DC" w14:textId="77777777" w:rsidR="00194513" w:rsidRPr="009B04E9" w:rsidRDefault="00194513" w:rsidP="00194513">
      <w:pPr>
        <w:pStyle w:val="Telobesedila"/>
        <w:ind w:right="1134"/>
      </w:pPr>
      <w:r w:rsidRPr="009B04E9">
        <w:t>S členom se posega v 178. člen Uredbe, ki opredeljuje plačilo po realizaciji.</w:t>
      </w:r>
    </w:p>
    <w:p w14:paraId="157E85B2" w14:textId="77777777" w:rsidR="00194513" w:rsidRPr="009B04E9" w:rsidRDefault="00194513" w:rsidP="00194513">
      <w:pPr>
        <w:pStyle w:val="Telobesedila"/>
        <w:ind w:right="1134"/>
      </w:pPr>
      <w:r w:rsidRPr="009B04E9">
        <w:t xml:space="preserve">Pregled pred cepljenjem in cepljenje lahko že zdaj izvajajo izbrani osebni zdravniki in dispanzerji za ženske. Da bi razširili dostopnost cepljenja nosečnic proti oslovskemu kašlju, se zagotavlja cepljenje tudi v ambulantah NIJZ. </w:t>
      </w:r>
    </w:p>
    <w:p w14:paraId="31DBB2DD" w14:textId="77777777" w:rsidR="00194513" w:rsidRPr="009B04E9" w:rsidRDefault="00194513" w:rsidP="00194513">
      <w:pPr>
        <w:pStyle w:val="Telobesedila"/>
        <w:ind w:right="1134"/>
      </w:pPr>
    </w:p>
    <w:p w14:paraId="5469A0C6" w14:textId="77777777" w:rsidR="00194513" w:rsidRPr="009B04E9" w:rsidRDefault="00194513" w:rsidP="00194513">
      <w:pPr>
        <w:pStyle w:val="Telobesedila"/>
        <w:ind w:right="1134"/>
      </w:pPr>
      <w:r w:rsidRPr="009B04E9">
        <w:t xml:space="preserve">S 1.7.2024 se uvaja nova ambulanta – ambulanta specializanta družinske medicine, za katero prav tako velja plačilo obiskov in posegov po realizaciji, kot to velja za običajno ambulanto specializanta družinske medicine. </w:t>
      </w:r>
    </w:p>
    <w:p w14:paraId="7349B99F" w14:textId="77777777" w:rsidR="00194513" w:rsidRPr="009B04E9" w:rsidRDefault="00194513" w:rsidP="00194513">
      <w:pPr>
        <w:pStyle w:val="Telobesedila"/>
        <w:ind w:right="1134"/>
      </w:pPr>
    </w:p>
    <w:p w14:paraId="6E6305F7" w14:textId="77777777" w:rsidR="00194513" w:rsidRPr="009B04E9" w:rsidRDefault="00194513" w:rsidP="00194513">
      <w:pPr>
        <w:pStyle w:val="Telobesedila"/>
        <w:ind w:right="1134"/>
      </w:pPr>
      <w:r w:rsidRPr="009B04E9">
        <w:t xml:space="preserve">Z Uredbo sta bili med programe, plačane brez omejitev, dodani pediatrija in gastroenterologija. Na teh dveh dejavnostih se izvajajo tudi drugi programi, zato se zaradi nedvoumnosti po novem navaja, da se plačilo po realizaciji nanaša le na program, plačan v točkah (Z0030). Pri gastroenterologiji se poleg storitev v točkah po realizaciji plačujejo še dihalni testi, ki pa so v Uredbi 2024 navedeni v samostojni alinei. </w:t>
      </w:r>
    </w:p>
    <w:p w14:paraId="67E8C2A6" w14:textId="77777777" w:rsidR="00194513" w:rsidRPr="009B04E9" w:rsidRDefault="00194513" w:rsidP="00194513">
      <w:pPr>
        <w:pStyle w:val="Telobesedila"/>
        <w:ind w:right="1134"/>
      </w:pPr>
    </w:p>
    <w:p w14:paraId="67804620" w14:textId="77777777" w:rsidR="00194513" w:rsidRPr="009B04E9" w:rsidRDefault="00194513" w:rsidP="00194513">
      <w:pPr>
        <w:pStyle w:val="Telobesedila"/>
        <w:ind w:right="1134"/>
      </w:pPr>
      <w:r w:rsidRPr="009B04E9">
        <w:t xml:space="preserve">Dejavnost fizioterapije se plača po realizaciji. </w:t>
      </w:r>
    </w:p>
    <w:p w14:paraId="3F0F2213" w14:textId="77777777" w:rsidR="00194513" w:rsidRPr="009B04E9" w:rsidRDefault="00194513" w:rsidP="00194513">
      <w:pPr>
        <w:pStyle w:val="Telobesedila"/>
        <w:ind w:right="1134"/>
      </w:pPr>
    </w:p>
    <w:p w14:paraId="429B14AF" w14:textId="77777777" w:rsidR="00194513" w:rsidRPr="009B04E9" w:rsidRDefault="00194513" w:rsidP="00194513">
      <w:pPr>
        <w:pStyle w:val="Telobesedila"/>
        <w:ind w:right="1134"/>
      </w:pPr>
      <w:r w:rsidRPr="009B04E9">
        <w:t xml:space="preserve">Program razvojne ambulante se plača brez omejitev; tako kot so plačani vsi ostali zdravstveni programi obravnave otrok. </w:t>
      </w:r>
    </w:p>
    <w:p w14:paraId="527558FC" w14:textId="77777777" w:rsidR="00194513" w:rsidRPr="009B04E9" w:rsidRDefault="00194513" w:rsidP="00194513">
      <w:pPr>
        <w:pStyle w:val="Telobesedila"/>
        <w:ind w:right="1134"/>
      </w:pPr>
    </w:p>
    <w:p w14:paraId="7AE3AC76" w14:textId="5CDB5744" w:rsidR="00194513" w:rsidRPr="009B04E9" w:rsidRDefault="00777FCB" w:rsidP="00194513">
      <w:pPr>
        <w:pStyle w:val="Telobesedila"/>
        <w:ind w:right="1134"/>
      </w:pPr>
      <w:r>
        <w:t>D</w:t>
      </w:r>
      <w:r w:rsidR="005E5CF3">
        <w:t>oločeno je, da so</w:t>
      </w:r>
      <w:r w:rsidR="00194513" w:rsidRPr="009B04E9">
        <w:t xml:space="preserve"> </w:t>
      </w:r>
      <w:r w:rsidR="00FE4B4C">
        <w:t xml:space="preserve">plačane vse </w:t>
      </w:r>
      <w:r w:rsidR="00194513" w:rsidRPr="009B04E9">
        <w:t>operacij</w:t>
      </w:r>
      <w:r w:rsidR="005E5CF3">
        <w:t>e</w:t>
      </w:r>
      <w:r w:rsidR="00194513" w:rsidRPr="009B04E9">
        <w:t xml:space="preserve"> na ožilju.</w:t>
      </w:r>
    </w:p>
    <w:p w14:paraId="0B5C20CF" w14:textId="77777777" w:rsidR="00194513" w:rsidRPr="009B04E9" w:rsidRDefault="00194513" w:rsidP="00194513">
      <w:pPr>
        <w:pStyle w:val="Telobesedila"/>
        <w:ind w:right="1134"/>
      </w:pPr>
    </w:p>
    <w:p w14:paraId="68635514" w14:textId="77777777" w:rsidR="00194513" w:rsidRPr="009B04E9" w:rsidRDefault="00194513" w:rsidP="00194513">
      <w:pPr>
        <w:pStyle w:val="Telobesedila"/>
        <w:ind w:right="1134"/>
      </w:pPr>
      <w:r w:rsidRPr="009B04E9">
        <w:t>12. člen</w:t>
      </w:r>
    </w:p>
    <w:p w14:paraId="45C3BCBA" w14:textId="77777777" w:rsidR="00194513" w:rsidRPr="009B04E9" w:rsidRDefault="00194513" w:rsidP="00194513">
      <w:pPr>
        <w:pStyle w:val="Telobesedila"/>
        <w:ind w:right="1134"/>
      </w:pPr>
      <w:r w:rsidRPr="009B04E9">
        <w:t>S spremembo v 188. členu Uredbe, kjer je opredeljeno plačilo storitev laboratorija v ambulantah družinske medicine, se določa, da poračun nerealiziranih sredstev za laboratorijske storitve Zavod razliko poračuna pri končnem letnem obračunu. Poračun se ne izvede pri obračunu za prvo tromesečje naslednjega leta (tako se izvaja sedaj). Izvajalci zaradi trenutno veljavnega obračuna nerealiziranih sredstev za laboratorijske storitve napačno izkazujejo letne rezultate poslovanja. Zavod bo pri končnem letnem obračunu lahko upošteval samo tiste stroške tujega laboratorija, ki jih bo bodo izvajalci poslali do 10. v mesecu za preteklo leto (sedaj so te podatke pošiljali do konca januarja za preteklo leto).</w:t>
      </w:r>
    </w:p>
    <w:p w14:paraId="012C0AF5" w14:textId="77777777" w:rsidR="00194513" w:rsidRPr="009B04E9" w:rsidRDefault="00194513" w:rsidP="00194513">
      <w:pPr>
        <w:pStyle w:val="Telobesedila"/>
        <w:ind w:right="1134"/>
      </w:pPr>
    </w:p>
    <w:p w14:paraId="11AD1540" w14:textId="77777777" w:rsidR="00194513" w:rsidRPr="009B04E9" w:rsidRDefault="00194513" w:rsidP="00194513">
      <w:pPr>
        <w:pStyle w:val="Telobesedila"/>
        <w:ind w:right="1134"/>
      </w:pPr>
      <w:r w:rsidRPr="009B04E9">
        <w:t xml:space="preserve">13. člen </w:t>
      </w:r>
    </w:p>
    <w:p w14:paraId="3814ED3A" w14:textId="77777777" w:rsidR="00194513" w:rsidRPr="009B04E9" w:rsidRDefault="00194513" w:rsidP="00194513">
      <w:pPr>
        <w:pStyle w:val="Telobesedila"/>
        <w:ind w:right="1134"/>
      </w:pPr>
      <w:r w:rsidRPr="009B04E9">
        <w:t xml:space="preserve">V 213. členu Uredbe se določa plačilo preseganja programa v zobozdravstveni dejavnosti za odrasle. S spremembo člena se določa, da Zavod plača do 50% preseganja plana za nego. Spremeni se tudi pogoj za plačilo protetike po realizaciji in sicer tako, da izvajalec dobi plačano protetiko po dejanski realizaciji šele, če realizira 150% pogodbenega programa nege. Če realizira manj kot 150% pogodbenega programa nege, dobi protetiko plačano največ do pogodbeno dogovorjenega plana protetike. </w:t>
      </w:r>
    </w:p>
    <w:p w14:paraId="15DD9929" w14:textId="77777777" w:rsidR="00194513" w:rsidRPr="009B04E9" w:rsidRDefault="00194513" w:rsidP="00194513">
      <w:pPr>
        <w:pStyle w:val="Telobesedila"/>
        <w:ind w:right="1134"/>
      </w:pPr>
    </w:p>
    <w:p w14:paraId="714975D6" w14:textId="77777777" w:rsidR="00194513" w:rsidRPr="009B04E9" w:rsidRDefault="00194513" w:rsidP="00194513">
      <w:pPr>
        <w:pStyle w:val="Telobesedila"/>
        <w:ind w:right="1134"/>
      </w:pPr>
      <w:r w:rsidRPr="009B04E9">
        <w:t>14. člen</w:t>
      </w:r>
    </w:p>
    <w:p w14:paraId="2A3A7892" w14:textId="1726702F" w:rsidR="00194513" w:rsidRPr="009B04E9" w:rsidRDefault="00194513" w:rsidP="00194513">
      <w:pPr>
        <w:pStyle w:val="Telobesedila"/>
        <w:ind w:right="1134"/>
      </w:pPr>
      <w:r w:rsidRPr="009B04E9">
        <w:t>V 220. členu Uredbe, kjer je določeno plačilo preseganja programa, se  črta  operacije na ožilju – krčne žile, ker se jih plača po realizaciji</w:t>
      </w:r>
      <w:r w:rsidR="002B7E7B">
        <w:t>.</w:t>
      </w:r>
      <w:r w:rsidRPr="009B04E9">
        <w:t xml:space="preserve"> </w:t>
      </w:r>
    </w:p>
    <w:p w14:paraId="20304D30" w14:textId="77777777" w:rsidR="00194513" w:rsidRDefault="00194513" w:rsidP="00194513">
      <w:pPr>
        <w:pStyle w:val="Telobesedila"/>
        <w:ind w:right="1134"/>
      </w:pPr>
    </w:p>
    <w:p w14:paraId="780DDD3C" w14:textId="77777777" w:rsidR="00194513" w:rsidRPr="009B04E9" w:rsidRDefault="00194513" w:rsidP="00194513">
      <w:pPr>
        <w:pStyle w:val="Telobesedila"/>
        <w:ind w:right="1134"/>
      </w:pPr>
      <w:r w:rsidRPr="009B04E9">
        <w:t xml:space="preserve">Dodaja se nov tretji odstavek: </w:t>
      </w:r>
    </w:p>
    <w:p w14:paraId="46ED4CD8" w14:textId="77777777" w:rsidR="00194513" w:rsidRPr="009B04E9" w:rsidRDefault="00194513" w:rsidP="00194513">
      <w:pPr>
        <w:pStyle w:val="Telobesedila"/>
        <w:ind w:right="1134"/>
      </w:pPr>
    </w:p>
    <w:p w14:paraId="18A9D2A9" w14:textId="77777777" w:rsidR="00194513" w:rsidRPr="009B04E9" w:rsidRDefault="00194513" w:rsidP="00194513">
      <w:pPr>
        <w:pStyle w:val="Telobesedila"/>
        <w:ind w:right="1134"/>
      </w:pPr>
      <w:r w:rsidRPr="009B04E9">
        <w:t>»Če izvajalec preseže minimalno število prvih pregledov iz 48. člena te uredbe za 10 %, mu Zavod plača do 30 % preseganja pogodbeno dogovorjenega programa (točk), če pa preseže plan minimalnega števila prvih pregledov za 20 %, pa 40 %, in sicer v naslednjih dejavnostih:</w:t>
      </w:r>
    </w:p>
    <w:p w14:paraId="46036F37" w14:textId="77777777" w:rsidR="00194513" w:rsidRPr="009B04E9" w:rsidRDefault="00194513" w:rsidP="00194513">
      <w:pPr>
        <w:pStyle w:val="Telobesedila"/>
        <w:ind w:right="1134"/>
      </w:pPr>
    </w:p>
    <w:tbl>
      <w:tblPr>
        <w:tblW w:w="8647" w:type="dxa"/>
        <w:tblInd w:w="-5"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6" w:space="0" w:color="45B0E1" w:themeColor="accent1" w:themeTint="99"/>
          <w:insideV w:val="single" w:sz="6" w:space="0" w:color="45B0E1" w:themeColor="accent1" w:themeTint="99"/>
        </w:tblBorders>
        <w:tblCellMar>
          <w:left w:w="70" w:type="dxa"/>
          <w:right w:w="70" w:type="dxa"/>
        </w:tblCellMar>
        <w:tblLook w:val="04A0" w:firstRow="1" w:lastRow="0" w:firstColumn="1" w:lastColumn="0" w:noHBand="0" w:noVBand="1"/>
      </w:tblPr>
      <w:tblGrid>
        <w:gridCol w:w="2360"/>
        <w:gridCol w:w="2625"/>
        <w:gridCol w:w="2360"/>
        <w:gridCol w:w="3110"/>
      </w:tblGrid>
      <w:tr w:rsidR="00194513" w:rsidRPr="009B04E9" w14:paraId="0477328F" w14:textId="77777777" w:rsidTr="002E5A0E">
        <w:trPr>
          <w:trHeight w:hRule="exact" w:val="1128"/>
        </w:trPr>
        <w:tc>
          <w:tcPr>
            <w:tcW w:w="1378" w:type="dxa"/>
            <w:tcBorders>
              <w:top w:val="single" w:sz="4"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tcPr>
          <w:p w14:paraId="0CCE784F" w14:textId="77777777" w:rsidR="00194513" w:rsidRPr="009B04E9" w:rsidRDefault="00194513" w:rsidP="002E5A0E">
            <w:pPr>
              <w:pStyle w:val="Telobesedila"/>
              <w:ind w:right="1134"/>
            </w:pPr>
            <w:r w:rsidRPr="009B04E9">
              <w:t>Vrsta in podvrsta zdravstvene dejavnosti</w:t>
            </w:r>
          </w:p>
          <w:p w14:paraId="67EA34AE" w14:textId="77777777" w:rsidR="00194513" w:rsidRPr="009B04E9" w:rsidRDefault="00194513" w:rsidP="002E5A0E">
            <w:pPr>
              <w:pStyle w:val="Telobesedila"/>
              <w:ind w:right="1134"/>
            </w:pPr>
          </w:p>
        </w:tc>
        <w:tc>
          <w:tcPr>
            <w:tcW w:w="2696" w:type="dxa"/>
            <w:tcBorders>
              <w:top w:val="single" w:sz="4"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1EF3EA14" w14:textId="77777777" w:rsidR="00194513" w:rsidRPr="009B04E9" w:rsidRDefault="00194513" w:rsidP="002E5A0E">
            <w:pPr>
              <w:pStyle w:val="Telobesedila"/>
              <w:ind w:right="1134"/>
            </w:pPr>
            <w:r w:rsidRPr="009B04E9">
              <w:t>Naziv dejavnosti</w:t>
            </w:r>
          </w:p>
        </w:tc>
        <w:tc>
          <w:tcPr>
            <w:tcW w:w="1378" w:type="dxa"/>
            <w:tcBorders>
              <w:top w:val="single" w:sz="4"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tcPr>
          <w:p w14:paraId="0E67C634" w14:textId="77777777" w:rsidR="00194513" w:rsidRPr="009B04E9" w:rsidRDefault="00194513" w:rsidP="002E5A0E">
            <w:pPr>
              <w:pStyle w:val="Telobesedila"/>
              <w:ind w:right="1134"/>
            </w:pPr>
            <w:r w:rsidRPr="009B04E9">
              <w:t>Vrsta in podvrsta zdravstvene dejavnosti</w:t>
            </w:r>
          </w:p>
          <w:p w14:paraId="3E2B7090" w14:textId="77777777" w:rsidR="00194513" w:rsidRPr="009B04E9" w:rsidRDefault="00194513" w:rsidP="002E5A0E">
            <w:pPr>
              <w:pStyle w:val="Telobesedila"/>
              <w:ind w:right="1134"/>
            </w:pPr>
          </w:p>
        </w:tc>
        <w:tc>
          <w:tcPr>
            <w:tcW w:w="3195" w:type="dxa"/>
            <w:tcBorders>
              <w:top w:val="single" w:sz="4"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238A1C95" w14:textId="77777777" w:rsidR="00194513" w:rsidRPr="009B04E9" w:rsidRDefault="00194513" w:rsidP="002E5A0E">
            <w:pPr>
              <w:pStyle w:val="Telobesedila"/>
              <w:ind w:right="1134"/>
            </w:pPr>
            <w:r w:rsidRPr="009B04E9">
              <w:t>Naziv dejavnosti</w:t>
            </w:r>
          </w:p>
        </w:tc>
      </w:tr>
      <w:tr w:rsidR="00194513" w:rsidRPr="009B04E9" w14:paraId="70A550B3" w14:textId="77777777" w:rsidTr="002E5A0E">
        <w:trPr>
          <w:trHeight w:hRule="exact" w:val="564"/>
        </w:trPr>
        <w:tc>
          <w:tcPr>
            <w:tcW w:w="1378"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6BDB54CA" w14:textId="77777777" w:rsidR="00194513" w:rsidRPr="009B04E9" w:rsidRDefault="00194513" w:rsidP="002E5A0E">
            <w:pPr>
              <w:pStyle w:val="Telobesedila"/>
              <w:ind w:right="1134"/>
            </w:pPr>
            <w:r w:rsidRPr="009B04E9">
              <w:t>204 205</w:t>
            </w:r>
          </w:p>
        </w:tc>
        <w:tc>
          <w:tcPr>
            <w:tcW w:w="2696"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5850B61A" w14:textId="77777777" w:rsidR="00194513" w:rsidRPr="009B04E9" w:rsidRDefault="00194513" w:rsidP="002E5A0E">
            <w:pPr>
              <w:pStyle w:val="Telobesedila"/>
              <w:ind w:right="1134"/>
            </w:pPr>
            <w:r w:rsidRPr="009B04E9">
              <w:t>rehabilitacija</w:t>
            </w:r>
          </w:p>
        </w:tc>
        <w:tc>
          <w:tcPr>
            <w:tcW w:w="1378"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2B66F2DE" w14:textId="77777777" w:rsidR="00194513" w:rsidRPr="009B04E9" w:rsidRDefault="00194513" w:rsidP="002E5A0E">
            <w:pPr>
              <w:pStyle w:val="Telobesedila"/>
              <w:ind w:right="1134"/>
            </w:pPr>
            <w:r w:rsidRPr="009B04E9">
              <w:t>220 229</w:t>
            </w:r>
          </w:p>
        </w:tc>
        <w:tc>
          <w:tcPr>
            <w:tcW w:w="3195"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277FE5F3" w14:textId="77777777" w:rsidR="00194513" w:rsidRPr="009B04E9" w:rsidRDefault="00194513" w:rsidP="002E5A0E">
            <w:pPr>
              <w:pStyle w:val="Telobesedila"/>
              <w:ind w:right="1134"/>
            </w:pPr>
            <w:r w:rsidRPr="009B04E9">
              <w:t>okulistika</w:t>
            </w:r>
          </w:p>
        </w:tc>
      </w:tr>
      <w:tr w:rsidR="00194513" w:rsidRPr="009B04E9" w14:paraId="6ECC6552" w14:textId="77777777" w:rsidTr="002E5A0E">
        <w:trPr>
          <w:trHeight w:hRule="exact" w:val="481"/>
        </w:trPr>
        <w:tc>
          <w:tcPr>
            <w:tcW w:w="1378"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1115D06D" w14:textId="77777777" w:rsidR="00194513" w:rsidRPr="009B04E9" w:rsidRDefault="00194513" w:rsidP="002E5A0E">
            <w:pPr>
              <w:pStyle w:val="Telobesedila"/>
              <w:ind w:right="1134"/>
            </w:pPr>
            <w:r w:rsidRPr="009B04E9">
              <w:t>204 207</w:t>
            </w:r>
          </w:p>
        </w:tc>
        <w:tc>
          <w:tcPr>
            <w:tcW w:w="2696"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0CE9A092" w14:textId="77777777" w:rsidR="00194513" w:rsidRPr="009B04E9" w:rsidRDefault="00194513" w:rsidP="002E5A0E">
            <w:pPr>
              <w:pStyle w:val="Telobesedila"/>
              <w:ind w:right="1134"/>
            </w:pPr>
            <w:r w:rsidRPr="009B04E9">
              <w:t>fiziatrija</w:t>
            </w:r>
          </w:p>
        </w:tc>
        <w:tc>
          <w:tcPr>
            <w:tcW w:w="1378"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79C1B2A3" w14:textId="77777777" w:rsidR="00194513" w:rsidRPr="009B04E9" w:rsidRDefault="00194513" w:rsidP="002E5A0E">
            <w:pPr>
              <w:pStyle w:val="Telobesedila"/>
              <w:ind w:right="1134"/>
            </w:pPr>
            <w:r w:rsidRPr="009B04E9">
              <w:t>230 241</w:t>
            </w:r>
          </w:p>
        </w:tc>
        <w:tc>
          <w:tcPr>
            <w:tcW w:w="3195"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16EF20DC" w14:textId="77777777" w:rsidR="00194513" w:rsidRPr="009B04E9" w:rsidRDefault="00194513" w:rsidP="002E5A0E">
            <w:pPr>
              <w:pStyle w:val="Telobesedila"/>
              <w:ind w:right="1134"/>
            </w:pPr>
            <w:r w:rsidRPr="009B04E9">
              <w:t>psihiatrija</w:t>
            </w:r>
          </w:p>
        </w:tc>
      </w:tr>
      <w:tr w:rsidR="00194513" w:rsidRPr="009B04E9" w14:paraId="776CD7E0" w14:textId="77777777" w:rsidTr="002E5A0E">
        <w:trPr>
          <w:trHeight w:hRule="exact" w:val="400"/>
        </w:trPr>
        <w:tc>
          <w:tcPr>
            <w:tcW w:w="1378"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3257ECFB" w14:textId="77777777" w:rsidR="00194513" w:rsidRPr="009B04E9" w:rsidRDefault="00194513" w:rsidP="002E5A0E">
            <w:pPr>
              <w:pStyle w:val="Telobesedila"/>
              <w:ind w:right="1134"/>
            </w:pPr>
            <w:r w:rsidRPr="009B04E9">
              <w:t>206 209</w:t>
            </w:r>
          </w:p>
        </w:tc>
        <w:tc>
          <w:tcPr>
            <w:tcW w:w="2696"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722B2C20" w14:textId="77777777" w:rsidR="00194513" w:rsidRPr="009B04E9" w:rsidRDefault="00194513" w:rsidP="002E5A0E">
            <w:pPr>
              <w:pStyle w:val="Telobesedila"/>
              <w:ind w:right="1134"/>
            </w:pPr>
            <w:r w:rsidRPr="009B04E9">
              <w:t>ginekologija</w:t>
            </w:r>
          </w:p>
        </w:tc>
        <w:tc>
          <w:tcPr>
            <w:tcW w:w="1378"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7D48CABF" w14:textId="77777777" w:rsidR="00194513" w:rsidRPr="009B04E9" w:rsidRDefault="00194513" w:rsidP="002E5A0E">
            <w:pPr>
              <w:pStyle w:val="Telobesedila"/>
              <w:ind w:right="1134"/>
            </w:pPr>
            <w:r w:rsidRPr="009B04E9">
              <w:t>234 251</w:t>
            </w:r>
          </w:p>
        </w:tc>
        <w:tc>
          <w:tcPr>
            <w:tcW w:w="3195"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6C96FCCB" w14:textId="77777777" w:rsidR="00194513" w:rsidRPr="009B04E9" w:rsidRDefault="00194513" w:rsidP="002E5A0E">
            <w:pPr>
              <w:pStyle w:val="Telobesedila"/>
              <w:ind w:right="1134"/>
            </w:pPr>
            <w:r w:rsidRPr="009B04E9">
              <w:t>splošna kirurgija</w:t>
            </w:r>
          </w:p>
        </w:tc>
      </w:tr>
      <w:tr w:rsidR="00194513" w:rsidRPr="009B04E9" w14:paraId="2C790067" w14:textId="77777777" w:rsidTr="002E5A0E">
        <w:trPr>
          <w:trHeight w:hRule="exact" w:val="446"/>
        </w:trPr>
        <w:tc>
          <w:tcPr>
            <w:tcW w:w="1378" w:type="dxa"/>
            <w:tcBorders>
              <w:top w:val="single" w:sz="6" w:space="0" w:color="45B0E1" w:themeColor="accent1" w:themeTint="99"/>
              <w:left w:val="single" w:sz="4" w:space="0" w:color="45B0E1" w:themeColor="accent1" w:themeTint="99"/>
              <w:bottom w:val="single" w:sz="6" w:space="0" w:color="45B0E1" w:themeColor="accent1" w:themeTint="99"/>
              <w:right w:val="single" w:sz="6" w:space="0" w:color="45B0E1" w:themeColor="accent1" w:themeTint="99"/>
            </w:tcBorders>
            <w:noWrap/>
            <w:vAlign w:val="bottom"/>
            <w:hideMark/>
          </w:tcPr>
          <w:p w14:paraId="25A2AE61" w14:textId="77777777" w:rsidR="00194513" w:rsidRPr="009B04E9" w:rsidRDefault="00194513" w:rsidP="002E5A0E">
            <w:pPr>
              <w:pStyle w:val="Telobesedila"/>
              <w:ind w:right="1134"/>
            </w:pPr>
            <w:r w:rsidRPr="009B04E9">
              <w:t>208 214</w:t>
            </w:r>
          </w:p>
        </w:tc>
        <w:tc>
          <w:tcPr>
            <w:tcW w:w="2696"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center"/>
            <w:hideMark/>
          </w:tcPr>
          <w:p w14:paraId="6D087868" w14:textId="77777777" w:rsidR="00194513" w:rsidRPr="009B04E9" w:rsidRDefault="00194513" w:rsidP="002E5A0E">
            <w:pPr>
              <w:pStyle w:val="Telobesedila"/>
              <w:ind w:right="1134"/>
            </w:pPr>
            <w:r w:rsidRPr="009B04E9">
              <w:t>infektologija</w:t>
            </w:r>
          </w:p>
        </w:tc>
        <w:tc>
          <w:tcPr>
            <w:tcW w:w="1378" w:type="dxa"/>
            <w:tcBorders>
              <w:top w:val="single" w:sz="6" w:space="0" w:color="45B0E1" w:themeColor="accent1" w:themeTint="99"/>
              <w:left w:val="single" w:sz="6" w:space="0" w:color="45B0E1" w:themeColor="accent1" w:themeTint="99"/>
              <w:bottom w:val="single" w:sz="6" w:space="0" w:color="45B0E1" w:themeColor="accent1" w:themeTint="99"/>
              <w:right w:val="single" w:sz="6" w:space="0" w:color="45B0E1" w:themeColor="accent1" w:themeTint="99"/>
            </w:tcBorders>
            <w:noWrap/>
            <w:vAlign w:val="bottom"/>
            <w:hideMark/>
          </w:tcPr>
          <w:p w14:paraId="79001E52" w14:textId="77777777" w:rsidR="00194513" w:rsidRPr="009B04E9" w:rsidRDefault="00194513" w:rsidP="002E5A0E">
            <w:pPr>
              <w:pStyle w:val="Telobesedila"/>
              <w:ind w:right="1134"/>
            </w:pPr>
            <w:r w:rsidRPr="009B04E9">
              <w:t>249 216</w:t>
            </w:r>
          </w:p>
        </w:tc>
        <w:tc>
          <w:tcPr>
            <w:tcW w:w="3195" w:type="dxa"/>
            <w:tcBorders>
              <w:top w:val="single" w:sz="6" w:space="0" w:color="45B0E1" w:themeColor="accent1" w:themeTint="99"/>
              <w:left w:val="single" w:sz="6" w:space="0" w:color="45B0E1" w:themeColor="accent1" w:themeTint="99"/>
              <w:bottom w:val="single" w:sz="6" w:space="0" w:color="45B0E1" w:themeColor="accent1" w:themeTint="99"/>
              <w:right w:val="single" w:sz="4" w:space="0" w:color="45B0E1" w:themeColor="accent1" w:themeTint="99"/>
            </w:tcBorders>
            <w:noWrap/>
            <w:vAlign w:val="center"/>
            <w:hideMark/>
          </w:tcPr>
          <w:p w14:paraId="14982967" w14:textId="77777777" w:rsidR="00194513" w:rsidRPr="009B04E9" w:rsidRDefault="00194513" w:rsidP="002E5A0E">
            <w:pPr>
              <w:pStyle w:val="Telobesedila"/>
              <w:ind w:right="1134"/>
            </w:pPr>
            <w:r w:rsidRPr="009B04E9">
              <w:t>diabetologija</w:t>
            </w:r>
          </w:p>
        </w:tc>
      </w:tr>
      <w:tr w:rsidR="00194513" w:rsidRPr="009B04E9" w14:paraId="25E84D5E" w14:textId="77777777" w:rsidTr="002E5A0E">
        <w:trPr>
          <w:trHeight w:hRule="exact" w:val="505"/>
        </w:trPr>
        <w:tc>
          <w:tcPr>
            <w:tcW w:w="1378" w:type="dxa"/>
            <w:tcBorders>
              <w:top w:val="single" w:sz="6" w:space="0" w:color="45B0E1" w:themeColor="accent1" w:themeTint="99"/>
              <w:left w:val="single" w:sz="4" w:space="0" w:color="45B0E1" w:themeColor="accent1" w:themeTint="99"/>
              <w:bottom w:val="single" w:sz="4" w:space="0" w:color="45B0E1" w:themeColor="accent1" w:themeTint="99"/>
              <w:right w:val="single" w:sz="6" w:space="0" w:color="45B0E1" w:themeColor="accent1" w:themeTint="99"/>
            </w:tcBorders>
            <w:noWrap/>
            <w:vAlign w:val="bottom"/>
            <w:hideMark/>
          </w:tcPr>
          <w:p w14:paraId="39113ACC" w14:textId="77777777" w:rsidR="00194513" w:rsidRPr="009B04E9" w:rsidRDefault="00194513" w:rsidP="002E5A0E">
            <w:pPr>
              <w:pStyle w:val="Telobesedila"/>
              <w:ind w:right="1134"/>
            </w:pPr>
            <w:r w:rsidRPr="009B04E9">
              <w:t>209 215</w:t>
            </w:r>
          </w:p>
        </w:tc>
        <w:tc>
          <w:tcPr>
            <w:tcW w:w="2696" w:type="dxa"/>
            <w:tcBorders>
              <w:top w:val="single" w:sz="6" w:space="0" w:color="45B0E1" w:themeColor="accent1" w:themeTint="99"/>
              <w:left w:val="single" w:sz="6" w:space="0" w:color="45B0E1" w:themeColor="accent1" w:themeTint="99"/>
              <w:bottom w:val="single" w:sz="4" w:space="0" w:color="45B0E1" w:themeColor="accent1" w:themeTint="99"/>
              <w:right w:val="single" w:sz="6" w:space="0" w:color="45B0E1" w:themeColor="accent1" w:themeTint="99"/>
            </w:tcBorders>
            <w:noWrap/>
            <w:vAlign w:val="center"/>
            <w:hideMark/>
          </w:tcPr>
          <w:p w14:paraId="6509739B" w14:textId="77777777" w:rsidR="00194513" w:rsidRPr="009B04E9" w:rsidRDefault="00194513" w:rsidP="002E5A0E">
            <w:pPr>
              <w:pStyle w:val="Telobesedila"/>
              <w:ind w:right="1134"/>
            </w:pPr>
            <w:r w:rsidRPr="009B04E9">
              <w:t>internistika</w:t>
            </w:r>
          </w:p>
        </w:tc>
        <w:tc>
          <w:tcPr>
            <w:tcW w:w="1378" w:type="dxa"/>
            <w:tcBorders>
              <w:top w:val="single" w:sz="6" w:space="0" w:color="45B0E1" w:themeColor="accent1" w:themeTint="99"/>
              <w:left w:val="single" w:sz="6" w:space="0" w:color="45B0E1" w:themeColor="accent1" w:themeTint="99"/>
              <w:bottom w:val="single" w:sz="4" w:space="0" w:color="45B0E1" w:themeColor="accent1" w:themeTint="99"/>
              <w:right w:val="single" w:sz="6" w:space="0" w:color="45B0E1" w:themeColor="accent1" w:themeTint="99"/>
            </w:tcBorders>
            <w:noWrap/>
            <w:vAlign w:val="bottom"/>
            <w:hideMark/>
          </w:tcPr>
          <w:p w14:paraId="36A4F6CC" w14:textId="77777777" w:rsidR="00194513" w:rsidRPr="009B04E9" w:rsidRDefault="00194513" w:rsidP="002E5A0E">
            <w:pPr>
              <w:pStyle w:val="Telobesedila"/>
              <w:ind w:right="1134"/>
            </w:pPr>
            <w:r w:rsidRPr="009B04E9">
              <w:t>249 217</w:t>
            </w:r>
          </w:p>
        </w:tc>
        <w:tc>
          <w:tcPr>
            <w:tcW w:w="3195" w:type="dxa"/>
            <w:tcBorders>
              <w:top w:val="single" w:sz="6" w:space="0" w:color="45B0E1" w:themeColor="accent1" w:themeTint="99"/>
              <w:left w:val="single" w:sz="6" w:space="0" w:color="45B0E1" w:themeColor="accent1" w:themeTint="99"/>
              <w:bottom w:val="single" w:sz="4" w:space="0" w:color="45B0E1" w:themeColor="accent1" w:themeTint="99"/>
              <w:right w:val="single" w:sz="4" w:space="0" w:color="45B0E1" w:themeColor="accent1" w:themeTint="99"/>
            </w:tcBorders>
            <w:noWrap/>
            <w:vAlign w:val="center"/>
            <w:hideMark/>
          </w:tcPr>
          <w:p w14:paraId="719CC2C1" w14:textId="77777777" w:rsidR="00194513" w:rsidRPr="009B04E9" w:rsidRDefault="00194513" w:rsidP="002E5A0E">
            <w:pPr>
              <w:pStyle w:val="Telobesedila"/>
              <w:ind w:right="1134"/>
            </w:pPr>
            <w:r w:rsidRPr="009B04E9">
              <w:t>tireologija</w:t>
            </w:r>
          </w:p>
        </w:tc>
      </w:tr>
    </w:tbl>
    <w:p w14:paraId="5BECCE50" w14:textId="77777777" w:rsidR="00194513" w:rsidRPr="009B04E9" w:rsidRDefault="00194513" w:rsidP="00194513">
      <w:pPr>
        <w:pStyle w:val="Telobesedila"/>
        <w:ind w:right="1134"/>
      </w:pPr>
    </w:p>
    <w:p w14:paraId="26B3B1A0" w14:textId="77777777" w:rsidR="00194513" w:rsidRPr="009B04E9" w:rsidRDefault="00194513" w:rsidP="00194513">
      <w:pPr>
        <w:pStyle w:val="Telobesedila"/>
        <w:ind w:right="1134"/>
      </w:pPr>
      <w:r w:rsidRPr="009B04E9">
        <w:t>15. člen</w:t>
      </w:r>
    </w:p>
    <w:p w14:paraId="56B20371" w14:textId="77777777" w:rsidR="00194513" w:rsidRPr="009B04E9" w:rsidRDefault="00194513" w:rsidP="00194513">
      <w:pPr>
        <w:pStyle w:val="Telobesedila"/>
        <w:ind w:right="1134"/>
      </w:pPr>
      <w:r w:rsidRPr="009B04E9">
        <w:t xml:space="preserve">S spremembo v 235. členu Uredbe se določa, da Zavod plača vstavitev umetnega srca največ do planiranega obsega v koledarskem letu. S spremembo Uredbe 2023 je bilo UKC LJ trajno dodeljenih 5 dodatnih primerov vstavitve umetnega srca, kaj je skupaj 25 primerov, ni pa bil popravljen obseg v (2) odstavku 235. člena. </w:t>
      </w:r>
    </w:p>
    <w:p w14:paraId="063AE85C" w14:textId="77777777" w:rsidR="00194513" w:rsidRPr="009B04E9" w:rsidRDefault="00194513" w:rsidP="00194513">
      <w:pPr>
        <w:pStyle w:val="Telobesedila"/>
        <w:ind w:right="1134"/>
      </w:pPr>
    </w:p>
    <w:p w14:paraId="1CF0D0E3" w14:textId="77777777" w:rsidR="00194513" w:rsidRPr="009B04E9" w:rsidRDefault="00194513" w:rsidP="00194513">
      <w:pPr>
        <w:pStyle w:val="Telobesedila"/>
        <w:ind w:right="1134"/>
      </w:pPr>
      <w:r w:rsidRPr="009B04E9">
        <w:t>16. in 17. člen</w:t>
      </w:r>
    </w:p>
    <w:p w14:paraId="5D8A6888" w14:textId="77777777" w:rsidR="00194513" w:rsidRPr="009B04E9" w:rsidRDefault="00194513" w:rsidP="00194513">
      <w:pPr>
        <w:pStyle w:val="Telobesedila"/>
        <w:ind w:right="1134"/>
      </w:pPr>
      <w:r w:rsidRPr="009B04E9">
        <w:t xml:space="preserve">Dodaja se nov 237.a člen, s katerim se socialnovarstveno varstvenim zavodom opredelijo dodatna sredstva za sodobne obloge za oskrbo kronične rane v višini 40 EUR na posteljo letno. Plača se realizirana vrednost, vendar največ do pogodbeno dogovorjene vrednosti. </w:t>
      </w:r>
    </w:p>
    <w:p w14:paraId="21D921F8" w14:textId="77777777" w:rsidR="00194513" w:rsidRPr="009B04E9" w:rsidRDefault="00194513" w:rsidP="00194513">
      <w:pPr>
        <w:pStyle w:val="Telobesedila"/>
        <w:ind w:right="1134"/>
      </w:pPr>
    </w:p>
    <w:p w14:paraId="21F8E48A" w14:textId="77777777" w:rsidR="00194513" w:rsidRPr="009B04E9" w:rsidRDefault="00194513" w:rsidP="00194513">
      <w:pPr>
        <w:pStyle w:val="Telobesedila"/>
        <w:ind w:right="1134"/>
      </w:pPr>
      <w:r w:rsidRPr="009B04E9">
        <w:t>18. člen</w:t>
      </w:r>
    </w:p>
    <w:p w14:paraId="64643382" w14:textId="77777777" w:rsidR="00194513" w:rsidRPr="009B04E9" w:rsidRDefault="00194513" w:rsidP="00194513">
      <w:pPr>
        <w:pStyle w:val="Telobesedila"/>
        <w:ind w:right="1134"/>
      </w:pPr>
      <w:r w:rsidRPr="009B04E9">
        <w:t>Dodaja se nov 239.a člen (planiranje akutne bolnišnične obravnave), ki  določa, da se skupni plan prospektivnih programov poveča na 50 % plana akutne bolnišnične obravnave pri javnih zavodih in 100 % plana akutne bolnišnične obravnave pri koncesionarjih.</w:t>
      </w:r>
    </w:p>
    <w:p w14:paraId="7318F6F6" w14:textId="77777777" w:rsidR="00194513" w:rsidRPr="009B04E9" w:rsidRDefault="00194513" w:rsidP="00194513">
      <w:pPr>
        <w:pStyle w:val="Telobesedila"/>
        <w:ind w:right="1134"/>
      </w:pPr>
    </w:p>
    <w:p w14:paraId="1FC73B6C" w14:textId="77777777" w:rsidR="00194513" w:rsidRPr="009B04E9" w:rsidRDefault="00194513" w:rsidP="00194513">
      <w:pPr>
        <w:pStyle w:val="Telobesedila"/>
        <w:ind w:right="1134"/>
      </w:pPr>
      <w:r w:rsidRPr="009B04E9">
        <w:t>19. člen</w:t>
      </w:r>
    </w:p>
    <w:p w14:paraId="393F620C" w14:textId="77777777" w:rsidR="00194513" w:rsidRPr="009B04E9" w:rsidRDefault="00194513" w:rsidP="00194513">
      <w:pPr>
        <w:pStyle w:val="Telobesedila"/>
        <w:ind w:right="1134"/>
      </w:pPr>
      <w:r w:rsidRPr="009B04E9">
        <w:t xml:space="preserve">S členom se spreminja 241. člen Uredbe, ki določa globe. </w:t>
      </w:r>
    </w:p>
    <w:p w14:paraId="4FA12898" w14:textId="77777777" w:rsidR="00194513" w:rsidRPr="009B04E9" w:rsidRDefault="00194513" w:rsidP="00194513">
      <w:pPr>
        <w:pStyle w:val="Telobesedila"/>
        <w:ind w:right="1134"/>
      </w:pPr>
    </w:p>
    <w:p w14:paraId="749F3EEF" w14:textId="77777777" w:rsidR="00194513" w:rsidRPr="009B04E9" w:rsidRDefault="00194513" w:rsidP="00194513">
      <w:pPr>
        <w:pStyle w:val="Telobesedila"/>
        <w:ind w:right="1134"/>
      </w:pPr>
      <w:r w:rsidRPr="005C7D44">
        <w:rPr>
          <w:u w:val="single"/>
        </w:rPr>
        <w:t>Obrazložitev predlagatelja</w:t>
      </w:r>
      <w:r w:rsidRPr="009B04E9">
        <w:t>:</w:t>
      </w:r>
    </w:p>
    <w:p w14:paraId="1C3E505C" w14:textId="77777777" w:rsidR="00194513" w:rsidRPr="009B04E9" w:rsidRDefault="00194513" w:rsidP="00194513">
      <w:pPr>
        <w:pStyle w:val="Telobesedila"/>
        <w:ind w:right="1134"/>
      </w:pPr>
      <w:r w:rsidRPr="009B04E9">
        <w:t>Ob objavi zadnjih sprememb in dopolnitev uredbe je prišlo do napake, saj sta dva člena posegala v 241. člen, zato vsebina 241. člena ni bila jasna. Zaradi tega se s temi spremembami in dopolnitvami uredbe spreminja celotni člen, da ne bi tudi v prihodnje prihajalo do različnih razlag, saj obstoječi registri predpisov vsebujejo različna besedila, prav tako pa je vsebina dvoumna ob branju objave v Uradnem listu Republike Slovenije.</w:t>
      </w:r>
    </w:p>
    <w:p w14:paraId="1D9DA4E1" w14:textId="77777777" w:rsidR="00194513" w:rsidRPr="009B04E9" w:rsidRDefault="00194513" w:rsidP="00194513">
      <w:pPr>
        <w:pStyle w:val="Telobesedila"/>
        <w:ind w:right="1134"/>
      </w:pPr>
    </w:p>
    <w:p w14:paraId="43CAFBD8" w14:textId="77777777" w:rsidR="00194513" w:rsidRPr="009B04E9" w:rsidRDefault="00194513" w:rsidP="00194513">
      <w:pPr>
        <w:pStyle w:val="Telobesedila"/>
        <w:ind w:right="1134"/>
      </w:pPr>
      <w:r w:rsidRPr="009B04E9">
        <w:t>20. člen</w:t>
      </w:r>
    </w:p>
    <w:p w14:paraId="5D2C5878" w14:textId="77777777" w:rsidR="00194513" w:rsidRPr="009B04E9" w:rsidRDefault="00194513" w:rsidP="00194513">
      <w:pPr>
        <w:pStyle w:val="Telobesedila"/>
        <w:ind w:right="1134"/>
      </w:pPr>
      <w:r w:rsidRPr="009B04E9">
        <w:t>V Prilogi 1 se spremeni kalkulacija za Bolnišnico za otroke Šentvid pri Stični.</w:t>
      </w:r>
    </w:p>
    <w:p w14:paraId="094AECFB" w14:textId="77777777" w:rsidR="00194513" w:rsidRPr="009B04E9" w:rsidRDefault="00194513" w:rsidP="00194513">
      <w:pPr>
        <w:pStyle w:val="Telobesedila"/>
        <w:ind w:right="1134"/>
      </w:pPr>
    </w:p>
    <w:p w14:paraId="1A72168D" w14:textId="77777777" w:rsidR="00194513" w:rsidRPr="009B04E9" w:rsidRDefault="00194513" w:rsidP="00194513">
      <w:pPr>
        <w:pStyle w:val="Telobesedila"/>
        <w:ind w:right="1134"/>
      </w:pPr>
      <w:r w:rsidRPr="009B04E9">
        <w:t>Veljavnost: 1. 1. 2024</w:t>
      </w:r>
    </w:p>
    <w:p w14:paraId="25D7EFFF" w14:textId="77777777" w:rsidR="00194513" w:rsidRPr="009B04E9" w:rsidRDefault="00194513" w:rsidP="00194513">
      <w:pPr>
        <w:pStyle w:val="Telobesedila"/>
        <w:ind w:right="1134"/>
      </w:pPr>
    </w:p>
    <w:p w14:paraId="681EDC21" w14:textId="77777777" w:rsidR="00194513" w:rsidRPr="009B04E9" w:rsidRDefault="00194513" w:rsidP="00194513">
      <w:pPr>
        <w:pStyle w:val="Telobesedila"/>
        <w:ind w:right="1134"/>
      </w:pPr>
      <w:r w:rsidRPr="009B04E9">
        <w:t>V Prilogi 1 se naslov poglavja » Cepljenje proti gripi v ambulantah NIJZ in v bolnišnicah od 1. 10. 2023« spremeni tako, da se glasi: »Cepljenje v ambulantah NIJZ in v bolnišnicah«.</w:t>
      </w:r>
    </w:p>
    <w:p w14:paraId="02EFDDAC" w14:textId="77777777" w:rsidR="00194513" w:rsidRPr="009B04E9" w:rsidRDefault="00194513" w:rsidP="00194513">
      <w:pPr>
        <w:pStyle w:val="Telobesedila"/>
        <w:ind w:right="1134"/>
      </w:pPr>
    </w:p>
    <w:p w14:paraId="4717B061" w14:textId="77777777" w:rsidR="00194513" w:rsidRPr="009B04E9" w:rsidRDefault="00194513" w:rsidP="00194513">
      <w:pPr>
        <w:pStyle w:val="Telobesedila"/>
        <w:ind w:right="1134"/>
      </w:pPr>
      <w:r w:rsidRPr="009B04E9">
        <w:t>V poglavju: »Cepljenje v ambulantah NIJZ in v bolnišnicah« se doda:</w:t>
      </w:r>
    </w:p>
    <w:p w14:paraId="72D6491D" w14:textId="2F59AF73" w:rsidR="00194513" w:rsidRPr="009B04E9" w:rsidRDefault="004D4FA7" w:rsidP="00194513">
      <w:pPr>
        <w:pStyle w:val="Telobesedila"/>
        <w:ind w:right="1134"/>
      </w:pPr>
      <w:r>
        <w:t>»</w:t>
      </w:r>
      <w:r w:rsidR="00194513" w:rsidRPr="009B04E9">
        <w:t>701 825  E xxxx  Pregled in cepljenje nosečnic proti oslovskemu kašlju NIJZ cena 14,00 €</w:t>
      </w:r>
      <w:r w:rsidR="005A23DF">
        <w:t>«.</w:t>
      </w:r>
    </w:p>
    <w:p w14:paraId="21BFC025" w14:textId="2ECA1A4F" w:rsidR="00194513" w:rsidRPr="009B04E9" w:rsidRDefault="00194513" w:rsidP="00194513">
      <w:pPr>
        <w:pStyle w:val="Telobesedila"/>
        <w:ind w:right="1134"/>
      </w:pPr>
      <w:r w:rsidRPr="009B04E9">
        <w:t>Veljavnost: 1. 7. 2024</w:t>
      </w:r>
    </w:p>
    <w:p w14:paraId="543B006A" w14:textId="77777777" w:rsidR="00194513" w:rsidRPr="009B04E9" w:rsidRDefault="00194513" w:rsidP="00194513">
      <w:pPr>
        <w:pStyle w:val="Telobesedila"/>
        <w:ind w:right="1134"/>
      </w:pPr>
    </w:p>
    <w:p w14:paraId="768BCC74" w14:textId="77777777" w:rsidR="00194513" w:rsidRPr="009B04E9" w:rsidRDefault="00194513" w:rsidP="00194513">
      <w:pPr>
        <w:pStyle w:val="Telobesedila"/>
        <w:ind w:right="1134"/>
      </w:pPr>
      <w:r w:rsidRPr="009B04E9">
        <w:t>Priloga 1 se v poglavju ''Cenik storitev - Razno v bolnišnični dejavnosti'' dopolni z novo storitvijo:</w:t>
      </w:r>
    </w:p>
    <w:p w14:paraId="6C2F7832" w14:textId="53D49928" w:rsidR="00194513" w:rsidRPr="009B04E9" w:rsidRDefault="00194513" w:rsidP="00194513">
      <w:pPr>
        <w:pStyle w:val="Telobesedila"/>
        <w:ind w:right="1134"/>
      </w:pPr>
      <w:r w:rsidRPr="009B04E9">
        <w:t>»101 300 Exxxx</w:t>
      </w:r>
      <w:r w:rsidRPr="009B04E9">
        <w:tab/>
        <w:t>Dodatek za lastno CAR-T celično terapijo (od 1.1.2025)</w:t>
      </w:r>
      <w:r w:rsidRPr="009B04E9">
        <w:tab/>
        <w:t>primer</w:t>
      </w:r>
      <w:r w:rsidRPr="009B04E9">
        <w:tab/>
        <w:t>183.000€</w:t>
      </w:r>
      <w:r w:rsidR="001B70DF">
        <w:t>«</w:t>
      </w:r>
      <w:r w:rsidR="005A23DF">
        <w:t>.</w:t>
      </w:r>
    </w:p>
    <w:p w14:paraId="74231251" w14:textId="53392F33" w:rsidR="00194513" w:rsidRPr="009B04E9" w:rsidRDefault="00194513" w:rsidP="00194513">
      <w:pPr>
        <w:pStyle w:val="Telobesedila"/>
        <w:ind w:right="1134"/>
      </w:pPr>
      <w:r w:rsidRPr="009B04E9">
        <w:t>Veljavnost: 1. 1. 2025</w:t>
      </w:r>
    </w:p>
    <w:p w14:paraId="0082ACE2" w14:textId="77777777" w:rsidR="00194513" w:rsidRPr="009B04E9" w:rsidRDefault="00194513" w:rsidP="00194513">
      <w:pPr>
        <w:pStyle w:val="Telobesedila"/>
        <w:ind w:right="1134"/>
      </w:pPr>
    </w:p>
    <w:p w14:paraId="302F0C88" w14:textId="77777777" w:rsidR="00194513" w:rsidRPr="009B04E9" w:rsidRDefault="00194513" w:rsidP="00194513">
      <w:pPr>
        <w:pStyle w:val="Telobesedila"/>
        <w:ind w:right="1134"/>
      </w:pPr>
      <w:r w:rsidRPr="009B04E9">
        <w:t>V Prilogi 1 se v standardu Klinična psihologija število točk zniža z 22.853 na 19.734, posledično se spremeni vrednost točke, ki po novem znaša 4,35.</w:t>
      </w:r>
    </w:p>
    <w:p w14:paraId="18007A41" w14:textId="77777777" w:rsidR="00194513" w:rsidRPr="009B04E9" w:rsidRDefault="00194513" w:rsidP="00194513">
      <w:pPr>
        <w:pStyle w:val="Telobesedila"/>
        <w:ind w:right="1134"/>
      </w:pPr>
      <w:r w:rsidRPr="009B04E9">
        <w:t>Veljavnost: 1. 1. 2024</w:t>
      </w:r>
    </w:p>
    <w:p w14:paraId="655EBB1B" w14:textId="77777777" w:rsidR="00194513" w:rsidRPr="009B04E9" w:rsidRDefault="00194513" w:rsidP="00194513">
      <w:pPr>
        <w:pStyle w:val="Telobesedila"/>
        <w:ind w:right="1134"/>
      </w:pPr>
    </w:p>
    <w:p w14:paraId="7E3CF8CC" w14:textId="77777777" w:rsidR="00194513" w:rsidRPr="009B04E9" w:rsidRDefault="00194513" w:rsidP="00194513">
      <w:pPr>
        <w:pStyle w:val="Telobesedila"/>
        <w:ind w:right="1134"/>
      </w:pPr>
      <w:r w:rsidRPr="009B04E9">
        <w:t>V Prilogi 1 se spremenijo cene kolonoskopij in sicer tako, da po spremembi znašajo:</w:t>
      </w:r>
    </w:p>
    <w:p w14:paraId="0421A78B" w14:textId="77777777" w:rsidR="00194513" w:rsidRPr="009B04E9" w:rsidRDefault="00194513" w:rsidP="00194513">
      <w:pPr>
        <w:pStyle w:val="Telobesedila"/>
        <w:ind w:right="1134"/>
      </w:pPr>
      <w:r w:rsidRPr="009B04E9">
        <w:t>presejalna kolonoskopija SVIT: 386,44 EUR,</w:t>
      </w:r>
    </w:p>
    <w:p w14:paraId="1A2535AC" w14:textId="77777777" w:rsidR="00194513" w:rsidRPr="009B04E9" w:rsidRDefault="00194513" w:rsidP="00194513">
      <w:pPr>
        <w:pStyle w:val="Telobesedila"/>
        <w:ind w:right="1134"/>
      </w:pPr>
      <w:r w:rsidRPr="009B04E9">
        <w:t>presejalna terapevtska kolonoskopija SVIT: 452,54 EUR,</w:t>
      </w:r>
    </w:p>
    <w:p w14:paraId="2088C77A" w14:textId="77777777" w:rsidR="00194513" w:rsidRPr="009B04E9" w:rsidRDefault="00194513" w:rsidP="00194513">
      <w:pPr>
        <w:pStyle w:val="Telobesedila"/>
        <w:ind w:right="1134"/>
      </w:pPr>
      <w:r w:rsidRPr="009B04E9">
        <w:t>delna kolonoskopija SVIT: 72,41 EUR,</w:t>
      </w:r>
    </w:p>
    <w:p w14:paraId="3A594B71" w14:textId="77777777" w:rsidR="00194513" w:rsidRPr="009B04E9" w:rsidRDefault="00194513" w:rsidP="00194513">
      <w:pPr>
        <w:pStyle w:val="Telobesedila"/>
        <w:ind w:right="1134"/>
      </w:pPr>
      <w:r w:rsidRPr="009B04E9">
        <w:t>operativna kolonoskopija z enim nožem SVIT: 1.777,07 EUR,</w:t>
      </w:r>
    </w:p>
    <w:p w14:paraId="0EB009C4" w14:textId="77777777" w:rsidR="00194513" w:rsidRPr="009B04E9" w:rsidRDefault="00194513" w:rsidP="00194513">
      <w:pPr>
        <w:pStyle w:val="Telobesedila"/>
        <w:ind w:right="1134"/>
      </w:pPr>
      <w:r w:rsidRPr="009B04E9">
        <w:t>operativna kolonoskopija z dvema nožema SVIT: 2.509,24 EUR,</w:t>
      </w:r>
    </w:p>
    <w:p w14:paraId="12736445" w14:textId="77777777" w:rsidR="00194513" w:rsidRPr="009B04E9" w:rsidRDefault="00194513" w:rsidP="00194513">
      <w:pPr>
        <w:pStyle w:val="Telobesedila"/>
        <w:ind w:right="1134"/>
      </w:pPr>
      <w:r w:rsidRPr="009B04E9">
        <w:t>operativna kolonoskopija brez noža SVIT: 1.452,56 EUR.</w:t>
      </w:r>
    </w:p>
    <w:p w14:paraId="29275820" w14:textId="77777777" w:rsidR="00194513" w:rsidRPr="009B04E9" w:rsidRDefault="00194513" w:rsidP="00194513">
      <w:pPr>
        <w:pStyle w:val="Telobesedila"/>
        <w:ind w:right="1134"/>
      </w:pPr>
      <w:r w:rsidRPr="009B04E9">
        <w:t>Veljavnost: 1. 7. 2024</w:t>
      </w:r>
    </w:p>
    <w:p w14:paraId="656C8423" w14:textId="77777777" w:rsidR="00194513" w:rsidRPr="009B04E9" w:rsidRDefault="00194513" w:rsidP="00194513">
      <w:pPr>
        <w:pStyle w:val="Telobesedila"/>
        <w:ind w:right="1134"/>
      </w:pPr>
    </w:p>
    <w:p w14:paraId="0F161B9E" w14:textId="77777777" w:rsidR="00194513" w:rsidRPr="009B04E9" w:rsidRDefault="00194513" w:rsidP="00194513">
      <w:pPr>
        <w:pStyle w:val="Telobesedila"/>
        <w:ind w:right="1134"/>
      </w:pPr>
      <w:r w:rsidRPr="009B04E9">
        <w:t>V Prilogi 1 se pri standardu »Razvojna ambulanta s centrom za zgodnjo obravnavo« materialni stroški povečajo na 127.620,83 EUR, vrednost tima pa na 671.233,12 EUR.</w:t>
      </w:r>
    </w:p>
    <w:p w14:paraId="5E2E3B43" w14:textId="77777777" w:rsidR="00194513" w:rsidRPr="009B04E9" w:rsidRDefault="00194513" w:rsidP="00194513">
      <w:pPr>
        <w:pStyle w:val="Telobesedila"/>
        <w:ind w:right="1134"/>
      </w:pPr>
    </w:p>
    <w:p w14:paraId="2EA46264" w14:textId="4354FFAF" w:rsidR="00194513" w:rsidRPr="009B04E9" w:rsidRDefault="00194513" w:rsidP="00194513">
      <w:pPr>
        <w:pStyle w:val="Telobesedila"/>
        <w:ind w:right="1134"/>
      </w:pPr>
      <w:r w:rsidRPr="009B04E9">
        <w:t xml:space="preserve">V Prilogi I se spremenijo standardi v povezavi z NMP. </w:t>
      </w:r>
    </w:p>
    <w:p w14:paraId="735F6320" w14:textId="77777777" w:rsidR="00194513" w:rsidRPr="009B04E9" w:rsidRDefault="00194513" w:rsidP="00194513">
      <w:pPr>
        <w:pStyle w:val="Telobesedila"/>
        <w:ind w:right="1134"/>
      </w:pPr>
    </w:p>
    <w:p w14:paraId="2D6AC9CC" w14:textId="77777777" w:rsidR="00194513" w:rsidRPr="009B04E9" w:rsidRDefault="00194513" w:rsidP="00194513">
      <w:pPr>
        <w:pStyle w:val="Telobesedila"/>
        <w:ind w:right="1134"/>
      </w:pPr>
      <w:r w:rsidRPr="009B04E9">
        <w:t>21. člen</w:t>
      </w:r>
    </w:p>
    <w:p w14:paraId="74CC64A8" w14:textId="77777777" w:rsidR="00194513" w:rsidRPr="009B04E9" w:rsidRDefault="00194513" w:rsidP="00194513">
      <w:pPr>
        <w:pStyle w:val="Telobesedila"/>
        <w:ind w:right="1134"/>
      </w:pPr>
      <w:r w:rsidRPr="009B04E9">
        <w:t>V prilogi 3 se doda nova ločeno zaračunljiva storitev:</w:t>
      </w:r>
    </w:p>
    <w:tbl>
      <w:tblPr>
        <w:tblW w:w="9101" w:type="dxa"/>
        <w:tblCellMar>
          <w:left w:w="70" w:type="dxa"/>
          <w:right w:w="70" w:type="dxa"/>
        </w:tblCellMar>
        <w:tblLook w:val="04A0" w:firstRow="1" w:lastRow="0" w:firstColumn="1" w:lastColumn="0" w:noHBand="0" w:noVBand="1"/>
      </w:tblPr>
      <w:tblGrid>
        <w:gridCol w:w="2014"/>
        <w:gridCol w:w="2986"/>
        <w:gridCol w:w="2005"/>
        <w:gridCol w:w="2096"/>
      </w:tblGrid>
      <w:tr w:rsidR="00194513" w:rsidRPr="009B04E9" w14:paraId="6B168063" w14:textId="77777777" w:rsidTr="002E5A0E">
        <w:trPr>
          <w:trHeight w:val="967"/>
        </w:trPr>
        <w:tc>
          <w:tcPr>
            <w:tcW w:w="811" w:type="dxa"/>
            <w:tcBorders>
              <w:top w:val="single" w:sz="4" w:space="0" w:color="538DD5"/>
              <w:left w:val="single" w:sz="4" w:space="0" w:color="538DD5"/>
              <w:bottom w:val="nil"/>
              <w:right w:val="single" w:sz="4" w:space="0" w:color="538DD5"/>
            </w:tcBorders>
            <w:vAlign w:val="center"/>
            <w:hideMark/>
          </w:tcPr>
          <w:p w14:paraId="603E8128" w14:textId="77777777" w:rsidR="00194513" w:rsidRPr="009B04E9" w:rsidRDefault="00194513" w:rsidP="002E5A0E">
            <w:pPr>
              <w:pStyle w:val="Telobesedila"/>
              <w:ind w:right="1134"/>
            </w:pPr>
            <w:r w:rsidRPr="009B04E9">
              <w:t>Šifra po</w:t>
            </w:r>
          </w:p>
          <w:p w14:paraId="58EDCCBF" w14:textId="77777777" w:rsidR="00194513" w:rsidRPr="009B04E9" w:rsidRDefault="00194513" w:rsidP="002E5A0E">
            <w:pPr>
              <w:pStyle w:val="Telobesedila"/>
              <w:ind w:right="1134"/>
            </w:pPr>
            <w:r w:rsidRPr="009B04E9">
              <w:t xml:space="preserve">šifrantu </w:t>
            </w:r>
          </w:p>
          <w:p w14:paraId="35D4A6D6" w14:textId="77777777" w:rsidR="00194513" w:rsidRPr="009B04E9" w:rsidRDefault="00194513" w:rsidP="002E5A0E">
            <w:pPr>
              <w:pStyle w:val="Telobesedila"/>
              <w:ind w:right="1134"/>
            </w:pPr>
            <w:r w:rsidRPr="009B04E9">
              <w:t>15.28</w:t>
            </w:r>
          </w:p>
        </w:tc>
        <w:tc>
          <w:tcPr>
            <w:tcW w:w="5439" w:type="dxa"/>
            <w:tcBorders>
              <w:top w:val="single" w:sz="4" w:space="0" w:color="538DD5"/>
              <w:left w:val="nil"/>
              <w:bottom w:val="nil"/>
              <w:right w:val="single" w:sz="4" w:space="0" w:color="538DD5"/>
            </w:tcBorders>
            <w:vAlign w:val="center"/>
            <w:hideMark/>
          </w:tcPr>
          <w:p w14:paraId="3A11255A" w14:textId="77777777" w:rsidR="00194513" w:rsidRPr="009B04E9" w:rsidRDefault="00194513" w:rsidP="002E5A0E">
            <w:pPr>
              <w:pStyle w:val="Telobesedila"/>
              <w:ind w:right="1134"/>
            </w:pPr>
            <w:r w:rsidRPr="009B04E9">
              <w:t>Ločeno zaračunljivi materiali in preiskave1</w:t>
            </w:r>
          </w:p>
        </w:tc>
        <w:tc>
          <w:tcPr>
            <w:tcW w:w="1228" w:type="dxa"/>
            <w:tcBorders>
              <w:top w:val="single" w:sz="4" w:space="0" w:color="538DD5"/>
              <w:left w:val="nil"/>
              <w:bottom w:val="nil"/>
              <w:right w:val="single" w:sz="4" w:space="0" w:color="538DD5"/>
            </w:tcBorders>
            <w:vAlign w:val="center"/>
            <w:hideMark/>
          </w:tcPr>
          <w:p w14:paraId="3ED2BDB8" w14:textId="77777777" w:rsidR="00194513" w:rsidRPr="009B04E9" w:rsidRDefault="00194513" w:rsidP="002E5A0E">
            <w:pPr>
              <w:pStyle w:val="Telobesedila"/>
              <w:ind w:right="1134"/>
            </w:pPr>
            <w:r w:rsidRPr="009B04E9">
              <w:t>Merska</w:t>
            </w:r>
          </w:p>
          <w:p w14:paraId="35C51562" w14:textId="77777777" w:rsidR="00194513" w:rsidRPr="009B04E9" w:rsidRDefault="00194513" w:rsidP="002E5A0E">
            <w:pPr>
              <w:pStyle w:val="Telobesedila"/>
              <w:ind w:right="1134"/>
            </w:pPr>
            <w:r w:rsidRPr="009B04E9">
              <w:t>enota</w:t>
            </w:r>
          </w:p>
          <w:p w14:paraId="64D22CC3" w14:textId="77777777" w:rsidR="00194513" w:rsidRPr="009B04E9" w:rsidRDefault="00194513" w:rsidP="002E5A0E">
            <w:pPr>
              <w:pStyle w:val="Telobesedila"/>
              <w:ind w:right="1134"/>
            </w:pPr>
            <w:r w:rsidRPr="009B04E9">
              <w:t> </w:t>
            </w:r>
          </w:p>
        </w:tc>
        <w:tc>
          <w:tcPr>
            <w:tcW w:w="1623" w:type="dxa"/>
            <w:tcBorders>
              <w:top w:val="single" w:sz="4" w:space="0" w:color="538DD5"/>
              <w:left w:val="nil"/>
              <w:bottom w:val="nil"/>
              <w:right w:val="nil"/>
            </w:tcBorders>
            <w:vAlign w:val="center"/>
            <w:hideMark/>
          </w:tcPr>
          <w:p w14:paraId="6E0C1EB6" w14:textId="77777777" w:rsidR="00194513" w:rsidRPr="009B04E9" w:rsidRDefault="00194513" w:rsidP="002E5A0E">
            <w:pPr>
              <w:pStyle w:val="Telobesedila"/>
              <w:ind w:right="1134"/>
            </w:pPr>
            <w:r w:rsidRPr="009B04E9">
              <w:t>Tekoča cena za</w:t>
            </w:r>
          </w:p>
          <w:p w14:paraId="62031F35" w14:textId="77777777" w:rsidR="00194513" w:rsidRPr="009B04E9" w:rsidRDefault="00194513" w:rsidP="002E5A0E">
            <w:pPr>
              <w:pStyle w:val="Telobesedila"/>
              <w:ind w:right="1134"/>
            </w:pPr>
            <w:r w:rsidRPr="009B04E9">
              <w:t xml:space="preserve">mersko enoto </w:t>
            </w:r>
          </w:p>
          <w:p w14:paraId="2CD10E18" w14:textId="77777777" w:rsidR="00194513" w:rsidRPr="009B04E9" w:rsidRDefault="00194513" w:rsidP="002E5A0E">
            <w:pPr>
              <w:pStyle w:val="Telobesedila"/>
              <w:ind w:right="1134"/>
            </w:pPr>
            <w:r w:rsidRPr="009B04E9">
              <w:t>(v EUR)</w:t>
            </w:r>
          </w:p>
        </w:tc>
      </w:tr>
      <w:tr w:rsidR="00194513" w:rsidRPr="009B04E9" w14:paraId="5D7538CA" w14:textId="77777777" w:rsidTr="002E5A0E">
        <w:trPr>
          <w:trHeight w:val="314"/>
        </w:trPr>
        <w:tc>
          <w:tcPr>
            <w:tcW w:w="811" w:type="dxa"/>
            <w:tcBorders>
              <w:top w:val="single" w:sz="4" w:space="0" w:color="538DD5"/>
              <w:left w:val="single" w:sz="4" w:space="0" w:color="538DD5"/>
              <w:bottom w:val="single" w:sz="4" w:space="0" w:color="538DD5"/>
              <w:right w:val="single" w:sz="4" w:space="0" w:color="538DD5"/>
            </w:tcBorders>
            <w:vAlign w:val="center"/>
            <w:hideMark/>
          </w:tcPr>
          <w:p w14:paraId="594855B7" w14:textId="77777777" w:rsidR="00194513" w:rsidRPr="009B04E9" w:rsidRDefault="00194513" w:rsidP="002E5A0E">
            <w:pPr>
              <w:pStyle w:val="Telobesedila"/>
              <w:ind w:right="1134"/>
            </w:pPr>
            <w:r w:rsidRPr="009B04E9">
              <w:t>Q0xxx</w:t>
            </w:r>
          </w:p>
        </w:tc>
        <w:tc>
          <w:tcPr>
            <w:tcW w:w="5439" w:type="dxa"/>
            <w:tcBorders>
              <w:top w:val="single" w:sz="4" w:space="0" w:color="538DD5"/>
              <w:left w:val="nil"/>
              <w:bottom w:val="single" w:sz="4" w:space="0" w:color="538DD5"/>
              <w:right w:val="single" w:sz="4" w:space="0" w:color="538DD5"/>
            </w:tcBorders>
            <w:vAlign w:val="center"/>
            <w:hideMark/>
          </w:tcPr>
          <w:p w14:paraId="470D4225" w14:textId="77777777" w:rsidR="00194513" w:rsidRPr="009B04E9" w:rsidRDefault="00194513" w:rsidP="002E5A0E">
            <w:pPr>
              <w:pStyle w:val="Telobesedila"/>
              <w:ind w:right="1134"/>
            </w:pPr>
            <w:r w:rsidRPr="009B04E9">
              <w:t>Priprava lutecija od 1.7.2024 dalje</w:t>
            </w:r>
          </w:p>
        </w:tc>
        <w:tc>
          <w:tcPr>
            <w:tcW w:w="1228" w:type="dxa"/>
            <w:tcBorders>
              <w:top w:val="single" w:sz="4" w:space="0" w:color="538DD5"/>
              <w:left w:val="nil"/>
              <w:bottom w:val="single" w:sz="4" w:space="0" w:color="538DD5"/>
              <w:right w:val="single" w:sz="4" w:space="0" w:color="538DD5"/>
            </w:tcBorders>
            <w:vAlign w:val="center"/>
            <w:hideMark/>
          </w:tcPr>
          <w:p w14:paraId="62AF5829" w14:textId="77777777" w:rsidR="00194513" w:rsidRPr="009B04E9" w:rsidRDefault="00194513" w:rsidP="002E5A0E">
            <w:pPr>
              <w:pStyle w:val="Telobesedila"/>
              <w:ind w:right="1134"/>
            </w:pPr>
            <w:r w:rsidRPr="009B04E9">
              <w:t>storitev</w:t>
            </w:r>
          </w:p>
        </w:tc>
        <w:tc>
          <w:tcPr>
            <w:tcW w:w="1623" w:type="dxa"/>
            <w:tcBorders>
              <w:top w:val="single" w:sz="4" w:space="0" w:color="538DD5"/>
              <w:left w:val="nil"/>
              <w:bottom w:val="single" w:sz="4" w:space="0" w:color="538DD5"/>
              <w:right w:val="nil"/>
            </w:tcBorders>
            <w:vAlign w:val="center"/>
            <w:hideMark/>
          </w:tcPr>
          <w:p w14:paraId="7BD60B1C" w14:textId="77777777" w:rsidR="00194513" w:rsidRPr="009B04E9" w:rsidRDefault="00194513" w:rsidP="002E5A0E">
            <w:pPr>
              <w:pStyle w:val="Telobesedila"/>
              <w:ind w:right="1134"/>
            </w:pPr>
            <w:r w:rsidRPr="009B04E9">
              <w:t>5.560,35</w:t>
            </w:r>
          </w:p>
        </w:tc>
      </w:tr>
    </w:tbl>
    <w:p w14:paraId="751094E4" w14:textId="77777777" w:rsidR="00194513" w:rsidRPr="009B04E9" w:rsidRDefault="00194513" w:rsidP="00194513">
      <w:pPr>
        <w:pStyle w:val="Telobesedila"/>
        <w:ind w:right="1134"/>
      </w:pPr>
    </w:p>
    <w:p w14:paraId="182CE42B" w14:textId="77777777" w:rsidR="00194513" w:rsidRPr="009B04E9" w:rsidRDefault="00194513" w:rsidP="00194513">
      <w:pPr>
        <w:pStyle w:val="Telobesedila"/>
        <w:ind w:right="1134"/>
      </w:pPr>
    </w:p>
    <w:p w14:paraId="0D3A0A7C" w14:textId="77777777" w:rsidR="00194513" w:rsidRPr="009B04E9" w:rsidRDefault="00194513" w:rsidP="00194513">
      <w:pPr>
        <w:pStyle w:val="Telobesedila"/>
        <w:ind w:right="1134"/>
      </w:pPr>
      <w:r w:rsidRPr="009B04E9">
        <w:t>22. člen</w:t>
      </w:r>
    </w:p>
    <w:p w14:paraId="06B0E7C1" w14:textId="77777777" w:rsidR="00194513" w:rsidRPr="009B04E9" w:rsidRDefault="00194513" w:rsidP="00194513">
      <w:pPr>
        <w:pStyle w:val="Telobesedila"/>
        <w:ind w:right="1134"/>
      </w:pPr>
      <w:r w:rsidRPr="009B04E9">
        <w:t>V Prilogi 10 v Tabeli 1 se:</w:t>
      </w:r>
    </w:p>
    <w:p w14:paraId="4BB78D23" w14:textId="77777777" w:rsidR="00194513" w:rsidRPr="009B04E9" w:rsidRDefault="00194513" w:rsidP="00194513">
      <w:pPr>
        <w:pStyle w:val="Telobesedila"/>
        <w:ind w:right="1134"/>
      </w:pPr>
      <w:r w:rsidRPr="009B04E9">
        <w:t xml:space="preserve">pri zaporedni številki 1 »2 Operacija nosu, ušes, ust in grla« med reprezentativne in večino ostalih možnih šifer SPP doda šifra D10Z, </w:t>
      </w:r>
    </w:p>
    <w:p w14:paraId="5BAE5021" w14:textId="77777777" w:rsidR="00194513" w:rsidRPr="009B04E9" w:rsidRDefault="00194513" w:rsidP="00194513">
      <w:pPr>
        <w:pStyle w:val="Telobesedila"/>
        <w:ind w:right="1134"/>
      </w:pPr>
      <w:r w:rsidRPr="009B04E9">
        <w:t xml:space="preserve">pri zaporedni številki 8 »19 Operacija prostate« med reprezentativne in večino ostalih možnih šifer SPP dodata šifri L05B in L05A, </w:t>
      </w:r>
    </w:p>
    <w:p w14:paraId="4944E8B7" w14:textId="77777777" w:rsidR="00194513" w:rsidRPr="009B04E9" w:rsidRDefault="00194513" w:rsidP="00194513">
      <w:pPr>
        <w:pStyle w:val="Telobesedila"/>
        <w:ind w:right="1134"/>
      </w:pPr>
      <w:r w:rsidRPr="009B04E9">
        <w:t xml:space="preserve">pri zaporedni številki 10 »24 Porod« spremeni utež za obračun z 1,2 na 1,3 </w:t>
      </w:r>
    </w:p>
    <w:p w14:paraId="73A08F71" w14:textId="77777777" w:rsidR="00194513" w:rsidRPr="009B04E9" w:rsidRDefault="00194513" w:rsidP="00194513">
      <w:pPr>
        <w:pStyle w:val="Telobesedila"/>
        <w:ind w:right="1134"/>
      </w:pPr>
      <w:r w:rsidRPr="009B04E9">
        <w:t xml:space="preserve">pri zaporedni številki 17 »8 Angiografija« med reprezentativne in večino ostalih možnih šifer SPP dodata šifri F42A in F42B, </w:t>
      </w:r>
    </w:p>
    <w:p w14:paraId="71ABCF85" w14:textId="77777777" w:rsidR="00194513" w:rsidRPr="009B04E9" w:rsidRDefault="00194513" w:rsidP="00194513">
      <w:pPr>
        <w:pStyle w:val="Telobesedila"/>
        <w:ind w:right="1134"/>
      </w:pPr>
      <w:r w:rsidRPr="009B04E9">
        <w:t>pri zaporedni številki 18 »9 Operacija kile« spremeni utež za obračun iz 0,74 na 0,82,</w:t>
      </w:r>
    </w:p>
    <w:p w14:paraId="674509B0" w14:textId="77777777" w:rsidR="00194513" w:rsidRPr="009B04E9" w:rsidRDefault="00194513" w:rsidP="00194513">
      <w:pPr>
        <w:pStyle w:val="Telobesedila"/>
        <w:ind w:right="1134"/>
      </w:pPr>
      <w:r w:rsidRPr="009B04E9">
        <w:t xml:space="preserve">pri zaporedni številki 19 »10 Operacija žolčnih kamnov« med reprezentativne in večino ostalih možnih šifer SPP dodajo šifre H08B in H08A. </w:t>
      </w:r>
    </w:p>
    <w:p w14:paraId="5E91A630" w14:textId="77777777" w:rsidR="00194513" w:rsidRPr="009B04E9" w:rsidRDefault="00194513" w:rsidP="00194513">
      <w:pPr>
        <w:pStyle w:val="Telobesedila"/>
        <w:ind w:right="1134"/>
      </w:pPr>
      <w:r w:rsidRPr="009B04E9">
        <w:t xml:space="preserve">pri zaporedni številki 20 »11 Endoproteza kolka« med reprezentativne in večino ostalih možnih šifer SPP dodajo šifre I33B, I33A, I03A, I03B, </w:t>
      </w:r>
    </w:p>
    <w:p w14:paraId="14A165F1" w14:textId="77777777" w:rsidR="00194513" w:rsidRPr="009B04E9" w:rsidRDefault="00194513" w:rsidP="00194513">
      <w:pPr>
        <w:pStyle w:val="Telobesedila"/>
        <w:ind w:right="1134"/>
      </w:pPr>
      <w:r w:rsidRPr="009B04E9">
        <w:t>pri zaporedni številki 21 »12 Endoproteza kolena« spremeni utež za obračun iz 4,70 na 5,00, med reprezentativne in večino ostalih možnih šifer SPP pa se dodata šifri I04B in I04A,</w:t>
      </w:r>
    </w:p>
    <w:p w14:paraId="0ED0949D" w14:textId="77777777" w:rsidR="00194513" w:rsidRPr="009B04E9" w:rsidRDefault="00194513" w:rsidP="00194513">
      <w:pPr>
        <w:pStyle w:val="Telobesedila"/>
        <w:ind w:right="1134"/>
      </w:pPr>
      <w:r w:rsidRPr="009B04E9">
        <w:t>pri zaporedni številki 23 »10 Operacija žolčnih kamnov« spremeni utež za obračun iz 1,23 na 1,30.</w:t>
      </w:r>
    </w:p>
    <w:p w14:paraId="61F96441" w14:textId="77777777" w:rsidR="00194513" w:rsidRPr="009B04E9" w:rsidRDefault="00194513" w:rsidP="00194513">
      <w:pPr>
        <w:pStyle w:val="Telobesedila"/>
        <w:ind w:right="1134"/>
      </w:pPr>
      <w:r w:rsidRPr="009B04E9">
        <w:t>Veljavnost: 1. 1. 2024</w:t>
      </w:r>
    </w:p>
    <w:p w14:paraId="3787F019" w14:textId="77777777" w:rsidR="00194513" w:rsidRPr="009B04E9" w:rsidRDefault="00194513" w:rsidP="00194513">
      <w:pPr>
        <w:pStyle w:val="Telobesedila"/>
        <w:ind w:right="1134"/>
      </w:pPr>
    </w:p>
    <w:p w14:paraId="7512CACB" w14:textId="77777777" w:rsidR="00194513" w:rsidRPr="009B04E9" w:rsidRDefault="00194513" w:rsidP="00194513">
      <w:pPr>
        <w:pStyle w:val="Telobesedila"/>
        <w:ind w:right="1134"/>
      </w:pPr>
      <w:r w:rsidRPr="009B04E9">
        <w:t>V Prilogi 10 v Tabeli 1 se popravi naziv točke b), tako da glasi:</w:t>
      </w:r>
    </w:p>
    <w:p w14:paraId="6CFAB42C" w14:textId="77777777" w:rsidR="00194513" w:rsidRPr="009B04E9" w:rsidRDefault="00194513" w:rsidP="00194513">
      <w:pPr>
        <w:pStyle w:val="Telobesedila"/>
        <w:ind w:right="1134"/>
      </w:pPr>
      <w:r w:rsidRPr="009B04E9">
        <w:t>»b.) Program, plačan do delnega preseganja plana (do ravni realizacije v letu 2023, povečane za 10 % plana, če je realizacija 2023 večja od plana, sicer do 10 % preseganja plana).«</w:t>
      </w:r>
    </w:p>
    <w:p w14:paraId="68DEE183" w14:textId="77777777" w:rsidR="00194513" w:rsidRPr="009B04E9" w:rsidRDefault="00194513" w:rsidP="00194513">
      <w:pPr>
        <w:pStyle w:val="Telobesedila"/>
        <w:ind w:right="1134"/>
      </w:pPr>
    </w:p>
    <w:p w14:paraId="497E3D39" w14:textId="77777777" w:rsidR="00194513" w:rsidRPr="009B04E9" w:rsidRDefault="00194513" w:rsidP="00194513">
      <w:pPr>
        <w:pStyle w:val="Telobesedila"/>
        <w:ind w:right="1134"/>
      </w:pPr>
      <w:r w:rsidRPr="009B04E9">
        <w:t>V Prilogi 10 v Tabeli 1 se programa endoproteza kolka in endoproteza kolena navedeta kot programa, ki se plačujeta brez omejitev (iz dela tabele, ki je označen z b.) se preneseta v del tabele, ki je označen z a.)).</w:t>
      </w:r>
    </w:p>
    <w:p w14:paraId="0AFF9D5C" w14:textId="77777777" w:rsidR="00194513" w:rsidRPr="009B04E9" w:rsidRDefault="00194513" w:rsidP="00194513">
      <w:pPr>
        <w:pStyle w:val="Telobesedila"/>
        <w:ind w:right="1134"/>
      </w:pPr>
      <w:r w:rsidRPr="009B04E9">
        <w:t>Veljavnost: 1.1.2024</w:t>
      </w:r>
    </w:p>
    <w:p w14:paraId="0B448A3F" w14:textId="77777777" w:rsidR="00194513" w:rsidRPr="009B04E9" w:rsidRDefault="00194513" w:rsidP="00194513">
      <w:pPr>
        <w:pStyle w:val="Telobesedila"/>
        <w:ind w:right="1134"/>
      </w:pPr>
    </w:p>
    <w:p w14:paraId="5F7852B9" w14:textId="77777777" w:rsidR="00194513" w:rsidRPr="009B04E9" w:rsidRDefault="00194513" w:rsidP="00194513">
      <w:pPr>
        <w:pStyle w:val="Telobesedila"/>
        <w:ind w:right="1134"/>
      </w:pPr>
      <w:r w:rsidRPr="009B04E9">
        <w:t>V Prilogi 10 Seznam posegov iz Klasifikacije terapevtskih in diagnostičnih postopkov ter seznam diagnoz iz Mednarodne klasifikacije bolezni za identificiranje izbranih storitev iz Priloge 1 se v poglavju Zdravljenje klonalnih krvnih novotvorb s celično terapijo CAR-T** doda nova 4. točka, ki se glasi:</w:t>
      </w:r>
    </w:p>
    <w:p w14:paraId="260A7A1F" w14:textId="77777777" w:rsidR="00194513" w:rsidRPr="009B04E9" w:rsidRDefault="00194513" w:rsidP="00194513">
      <w:pPr>
        <w:pStyle w:val="Telobesedila"/>
        <w:ind w:right="1134"/>
      </w:pPr>
      <w:r w:rsidRPr="009B04E9">
        <w:t>»30087-00 Punkcija kostnega mozga ali / in 30084 Perkutana biopsija kostnega mozga.«</w:t>
      </w:r>
    </w:p>
    <w:p w14:paraId="7AFBB4D9" w14:textId="77777777" w:rsidR="00194513" w:rsidRPr="009B04E9" w:rsidRDefault="00194513" w:rsidP="00194513">
      <w:pPr>
        <w:pStyle w:val="Telobesedila"/>
        <w:ind w:right="1134"/>
      </w:pPr>
      <w:r w:rsidRPr="009B04E9">
        <w:t>Veljavnost: 1. 1. 2025</w:t>
      </w:r>
    </w:p>
    <w:p w14:paraId="2B45F22D" w14:textId="77777777" w:rsidR="00194513" w:rsidRPr="009B04E9" w:rsidRDefault="00194513" w:rsidP="00194513">
      <w:pPr>
        <w:pStyle w:val="Telobesedila"/>
        <w:ind w:right="1134"/>
      </w:pPr>
    </w:p>
    <w:p w14:paraId="35688064" w14:textId="77777777" w:rsidR="00194513" w:rsidRPr="009B04E9" w:rsidRDefault="00194513" w:rsidP="00194513">
      <w:pPr>
        <w:pStyle w:val="Telobesedila"/>
        <w:ind w:right="1134"/>
      </w:pPr>
      <w:r w:rsidRPr="009B04E9">
        <w:t>23. člen</w:t>
      </w:r>
    </w:p>
    <w:p w14:paraId="05124038" w14:textId="77777777" w:rsidR="00194513" w:rsidRPr="009B04E9" w:rsidRDefault="00194513" w:rsidP="00194513">
      <w:pPr>
        <w:pStyle w:val="Telobesedila"/>
        <w:ind w:right="1134"/>
      </w:pPr>
      <w:r w:rsidRPr="009B04E9">
        <w:t>Priloga 16.a  Začasni ukrepi na področju Koroške in Zg. Savinjske doline v časi sanacije poplav se ukinejo.</w:t>
      </w:r>
    </w:p>
    <w:p w14:paraId="28364730" w14:textId="77777777" w:rsidR="00194513" w:rsidRPr="009B04E9" w:rsidRDefault="00194513" w:rsidP="00194513">
      <w:pPr>
        <w:pStyle w:val="Telobesedila"/>
        <w:ind w:right="1134"/>
      </w:pPr>
    </w:p>
    <w:p w14:paraId="4555C1AC" w14:textId="77777777" w:rsidR="00194513" w:rsidRPr="009B04E9" w:rsidRDefault="00194513" w:rsidP="00194513">
      <w:pPr>
        <w:pStyle w:val="Telobesedila"/>
        <w:ind w:right="1134"/>
      </w:pPr>
      <w:r w:rsidRPr="009B04E9">
        <w:t>24. člen</w:t>
      </w:r>
    </w:p>
    <w:p w14:paraId="05F3B709" w14:textId="77777777" w:rsidR="00194513" w:rsidRPr="009B04E9" w:rsidRDefault="00194513" w:rsidP="00194513">
      <w:pPr>
        <w:pStyle w:val="Telobesedila"/>
        <w:ind w:right="1134"/>
      </w:pPr>
      <w:r w:rsidRPr="009B04E9">
        <w:t>Določa začetek uporabe storitev, opravljenih ali obračunanih od 1. januarja 2024 in 1. aprila 2024.</w:t>
      </w:r>
    </w:p>
    <w:p w14:paraId="71C175AF" w14:textId="77777777" w:rsidR="00194513" w:rsidRPr="009B04E9" w:rsidRDefault="00194513" w:rsidP="00194513">
      <w:pPr>
        <w:pStyle w:val="Telobesedila"/>
        <w:ind w:right="1134"/>
      </w:pPr>
    </w:p>
    <w:p w14:paraId="25CCBB3A" w14:textId="77777777" w:rsidR="00194513" w:rsidRPr="009B04E9" w:rsidRDefault="00194513" w:rsidP="00194513">
      <w:pPr>
        <w:pStyle w:val="Telobesedila"/>
        <w:ind w:right="1134"/>
      </w:pPr>
      <w:r w:rsidRPr="009B04E9">
        <w:t xml:space="preserve">Uredba se uporablja za naslednje storitve, opravljene ali obračunane od 1. januarja 2024, iz: </w:t>
      </w:r>
    </w:p>
    <w:p w14:paraId="3A377544" w14:textId="77777777" w:rsidR="00194513" w:rsidRPr="009B04E9" w:rsidRDefault="00194513" w:rsidP="00194513">
      <w:pPr>
        <w:pStyle w:val="Telobesedila"/>
        <w:ind w:right="1134"/>
      </w:pPr>
      <w:r w:rsidRPr="009B04E9">
        <w:t>– standarda 338 024 v novi zaporedni številki 26 tabele iz prvega odstavka 97. člena uredbe;</w:t>
      </w:r>
    </w:p>
    <w:p w14:paraId="7C9A7955" w14:textId="77777777" w:rsidR="00194513" w:rsidRPr="009B04E9" w:rsidRDefault="00194513" w:rsidP="00194513">
      <w:pPr>
        <w:pStyle w:val="Telobesedila"/>
        <w:ind w:right="1134"/>
      </w:pPr>
      <w:r w:rsidRPr="009B04E9">
        <w:t>– zaporedne številke 250, 253 in 266 tabele iz prvega odstavka 98. člena uredbe;</w:t>
      </w:r>
    </w:p>
    <w:p w14:paraId="4D2DA498" w14:textId="77777777" w:rsidR="00194513" w:rsidRPr="009B04E9" w:rsidRDefault="00194513" w:rsidP="00194513">
      <w:pPr>
        <w:pStyle w:val="Telobesedila"/>
        <w:ind w:right="1134"/>
      </w:pPr>
      <w:r w:rsidRPr="009B04E9">
        <w:t>– spremenjenega petega odstavka 188. člena uredbe;</w:t>
      </w:r>
    </w:p>
    <w:p w14:paraId="6B1038A7" w14:textId="77777777" w:rsidR="00194513" w:rsidRPr="009B04E9" w:rsidRDefault="00194513" w:rsidP="00194513">
      <w:pPr>
        <w:pStyle w:val="Telobesedila"/>
        <w:ind w:right="1134"/>
      </w:pPr>
      <w:r w:rsidRPr="009B04E9">
        <w:t>– spremenjenega 213. člena uredbe;</w:t>
      </w:r>
    </w:p>
    <w:p w14:paraId="685A4BE9" w14:textId="77777777" w:rsidR="00194513" w:rsidRPr="009B04E9" w:rsidRDefault="00194513" w:rsidP="00194513">
      <w:pPr>
        <w:pStyle w:val="Telobesedila"/>
        <w:ind w:right="1134"/>
      </w:pPr>
      <w:r w:rsidRPr="009B04E9">
        <w:t>– spremenjenega drugega odstavka 235. člena uredbe.</w:t>
      </w:r>
    </w:p>
    <w:p w14:paraId="6B1F238D" w14:textId="77777777" w:rsidR="00194513" w:rsidRPr="009B04E9" w:rsidRDefault="00194513" w:rsidP="00194513">
      <w:pPr>
        <w:pStyle w:val="Telobesedila"/>
        <w:ind w:right="1134"/>
      </w:pPr>
    </w:p>
    <w:p w14:paraId="24A3C65F" w14:textId="77777777" w:rsidR="00194513" w:rsidRPr="009B04E9" w:rsidRDefault="00194513" w:rsidP="00194513">
      <w:pPr>
        <w:pStyle w:val="Telobesedila"/>
        <w:ind w:right="1134"/>
      </w:pPr>
      <w:r w:rsidRPr="009B04E9">
        <w:t>Od 1. aprila 2024 se uporablja nova zaporedna številka 271 tabele iz prvega odstavka 98. člena Uredbe.</w:t>
      </w:r>
    </w:p>
    <w:p w14:paraId="39FDDE96" w14:textId="77777777" w:rsidR="00194513" w:rsidRPr="009B04E9" w:rsidRDefault="00194513" w:rsidP="00194513">
      <w:pPr>
        <w:pStyle w:val="Telobesedila"/>
        <w:ind w:right="1134"/>
      </w:pPr>
    </w:p>
    <w:p w14:paraId="5B51038C" w14:textId="77777777" w:rsidR="00194513" w:rsidRPr="009B04E9" w:rsidRDefault="00194513" w:rsidP="00194513">
      <w:pPr>
        <w:pStyle w:val="Telobesedila"/>
        <w:ind w:right="1134"/>
      </w:pPr>
      <w:r w:rsidRPr="009B04E9">
        <w:t>25. člen</w:t>
      </w:r>
    </w:p>
    <w:p w14:paraId="4E01F0A5" w14:textId="77777777" w:rsidR="00194513" w:rsidRPr="009B04E9" w:rsidRDefault="00194513" w:rsidP="00194513">
      <w:pPr>
        <w:pStyle w:val="Telobesedila"/>
        <w:ind w:right="1134"/>
      </w:pPr>
      <w:r w:rsidRPr="009B04E9">
        <w:t>Določa začetek uporabe določenih ukrepov iz spremembe Uredbe.</w:t>
      </w:r>
    </w:p>
    <w:p w14:paraId="3B79BB2A" w14:textId="77777777" w:rsidR="00194513" w:rsidRPr="009B04E9" w:rsidRDefault="00194513" w:rsidP="00194513">
      <w:pPr>
        <w:pStyle w:val="Telobesedila"/>
        <w:ind w:right="1134"/>
      </w:pPr>
    </w:p>
    <w:p w14:paraId="480E1033" w14:textId="77777777" w:rsidR="00194513" w:rsidRPr="009B04E9" w:rsidRDefault="00194513" w:rsidP="00194513">
      <w:pPr>
        <w:pStyle w:val="Telobesedila"/>
        <w:ind w:right="1134"/>
      </w:pPr>
      <w:r w:rsidRPr="009B04E9">
        <w:t>Od 1. julija 2024 se uporabljajo:</w:t>
      </w:r>
    </w:p>
    <w:p w14:paraId="5E905B7A" w14:textId="77777777" w:rsidR="00194513" w:rsidRPr="009B04E9" w:rsidRDefault="00194513" w:rsidP="00194513">
      <w:pPr>
        <w:pStyle w:val="Telobesedila"/>
        <w:ind w:right="1134"/>
      </w:pPr>
      <w:r w:rsidRPr="009B04E9">
        <w:t>– novi sedmi odstavek 83. člena uredbe;</w:t>
      </w:r>
    </w:p>
    <w:p w14:paraId="63124730" w14:textId="77777777" w:rsidR="00194513" w:rsidRPr="009B04E9" w:rsidRDefault="00194513" w:rsidP="00194513">
      <w:pPr>
        <w:pStyle w:val="Telobesedila"/>
        <w:ind w:right="1134"/>
      </w:pPr>
      <w:r w:rsidRPr="009B04E9">
        <w:t>– nova 31. točka prvega odstavka 88. člena uredbe;</w:t>
      </w:r>
    </w:p>
    <w:p w14:paraId="4F41DD8B" w14:textId="77777777" w:rsidR="00194513" w:rsidRPr="009B04E9" w:rsidRDefault="00194513" w:rsidP="00194513">
      <w:pPr>
        <w:pStyle w:val="Telobesedila"/>
        <w:ind w:right="1134"/>
      </w:pPr>
      <w:r w:rsidRPr="009B04E9">
        <w:t>– nove zaporedne številke 14, 15, 19 do 25 in 27 tabele iz prvega odstavka 97. člena uredbe;</w:t>
      </w:r>
    </w:p>
    <w:p w14:paraId="2CDD06EC" w14:textId="77777777" w:rsidR="00194513" w:rsidRPr="009B04E9" w:rsidRDefault="00194513" w:rsidP="00194513">
      <w:pPr>
        <w:pStyle w:val="Telobesedila"/>
        <w:ind w:right="1134"/>
      </w:pPr>
      <w:r w:rsidRPr="009B04E9">
        <w:t>– nove zaporedne številke 184, 186 do 249, 252, 255 do 261, 265, 267, 268, 269 in 270 tabele iz prvega odstavka 98. člena uredbe;</w:t>
      </w:r>
    </w:p>
    <w:p w14:paraId="365F5504" w14:textId="77777777" w:rsidR="00194513" w:rsidRPr="009B04E9" w:rsidRDefault="00194513" w:rsidP="00194513">
      <w:pPr>
        <w:pStyle w:val="Telobesedila"/>
        <w:ind w:right="1134"/>
      </w:pPr>
      <w:r w:rsidRPr="009B04E9">
        <w:t>– spremenjena dvanajsta in nova sedemnajsta alineja 1. točke 178. člena uredbe;</w:t>
      </w:r>
    </w:p>
    <w:p w14:paraId="024D46A9" w14:textId="77777777" w:rsidR="00194513" w:rsidRPr="009B04E9" w:rsidRDefault="00194513" w:rsidP="00194513">
      <w:pPr>
        <w:pStyle w:val="Telobesedila"/>
        <w:ind w:right="1134"/>
      </w:pPr>
      <w:r w:rsidRPr="009B04E9">
        <w:t>– novi 238.a člen uredbe.</w:t>
      </w:r>
    </w:p>
    <w:p w14:paraId="699C6A74" w14:textId="77777777" w:rsidR="00194513" w:rsidRPr="009B04E9" w:rsidRDefault="00194513" w:rsidP="00194513">
      <w:pPr>
        <w:pStyle w:val="Telobesedila"/>
        <w:ind w:right="1134"/>
      </w:pPr>
    </w:p>
    <w:p w14:paraId="30ACD2AA" w14:textId="77777777" w:rsidR="00194513" w:rsidRPr="009B04E9" w:rsidRDefault="00194513" w:rsidP="00194513">
      <w:pPr>
        <w:pStyle w:val="Telobesedila"/>
        <w:ind w:right="1134"/>
      </w:pPr>
      <w:r w:rsidRPr="009B04E9">
        <w:t>Od 1. septembra 2024 se uporabljajo:</w:t>
      </w:r>
    </w:p>
    <w:p w14:paraId="711A8B29" w14:textId="77777777" w:rsidR="00194513" w:rsidRPr="009B04E9" w:rsidRDefault="00194513" w:rsidP="00194513">
      <w:pPr>
        <w:pStyle w:val="Telobesedila"/>
        <w:ind w:right="1134"/>
      </w:pPr>
      <w:r w:rsidRPr="009B04E9">
        <w:t>– nova zaporedna številka 28 tabele iz prvega odstavka 97. člena uredbe;</w:t>
      </w:r>
    </w:p>
    <w:p w14:paraId="2259A812" w14:textId="77777777" w:rsidR="00194513" w:rsidRPr="009B04E9" w:rsidRDefault="00194513" w:rsidP="00194513">
      <w:pPr>
        <w:pStyle w:val="Telobesedila"/>
        <w:ind w:right="1134"/>
      </w:pPr>
      <w:r w:rsidRPr="009B04E9">
        <w:t>– nove zaporedne številke 262, 263 in 264 tabele iz prvega odstavka 98. člena uredbe.</w:t>
      </w:r>
    </w:p>
    <w:p w14:paraId="64917DE6" w14:textId="77777777" w:rsidR="00194513" w:rsidRPr="009B04E9" w:rsidRDefault="00194513" w:rsidP="00194513">
      <w:pPr>
        <w:pStyle w:val="Telobesedila"/>
        <w:ind w:right="1134"/>
      </w:pPr>
    </w:p>
    <w:p w14:paraId="3C97C5B5" w14:textId="77777777" w:rsidR="00194513" w:rsidRPr="009B04E9" w:rsidRDefault="00194513" w:rsidP="00194513">
      <w:pPr>
        <w:pStyle w:val="Telobesedila"/>
        <w:ind w:right="1134"/>
      </w:pPr>
      <w:r w:rsidRPr="009B04E9">
        <w:t>Od 1. decembra 2024 se uporablja nova zaporedna številka 185 tabele iz prvega odstavka 98. člena uredbe.</w:t>
      </w:r>
    </w:p>
    <w:p w14:paraId="258892D6" w14:textId="77777777" w:rsidR="00194513" w:rsidRPr="009B04E9" w:rsidRDefault="00194513" w:rsidP="00194513">
      <w:pPr>
        <w:pStyle w:val="Telobesedila"/>
        <w:ind w:right="1134"/>
      </w:pPr>
    </w:p>
    <w:p w14:paraId="0375ECAB" w14:textId="77777777" w:rsidR="00194513" w:rsidRPr="009B04E9" w:rsidRDefault="00194513" w:rsidP="00194513">
      <w:pPr>
        <w:pStyle w:val="Telobesedila"/>
        <w:ind w:right="1134"/>
      </w:pPr>
      <w:r w:rsidRPr="009B04E9">
        <w:t>Od 1. januarja 2025 se uporabljajo:</w:t>
      </w:r>
    </w:p>
    <w:p w14:paraId="5E051630" w14:textId="77777777" w:rsidR="00194513" w:rsidRPr="009B04E9" w:rsidRDefault="00194513" w:rsidP="00194513">
      <w:pPr>
        <w:pStyle w:val="Telobesedila"/>
        <w:ind w:right="1134"/>
      </w:pPr>
      <w:r w:rsidRPr="009B04E9">
        <w:t>– nove zaporedne številke 16 do 18 tabele iz prvega odstavka 97. člena uredbe;</w:t>
      </w:r>
    </w:p>
    <w:p w14:paraId="043126E1" w14:textId="77777777" w:rsidR="00194513" w:rsidRPr="009B04E9" w:rsidRDefault="00194513" w:rsidP="00194513">
      <w:pPr>
        <w:pStyle w:val="Telobesedila"/>
        <w:ind w:right="1134"/>
      </w:pPr>
      <w:r w:rsidRPr="009B04E9">
        <w:t>– novi zaporedni številki 251 in 254 tabele iz prvega odstavka 98. člena uredbe;</w:t>
      </w:r>
    </w:p>
    <w:p w14:paraId="6CAD2761" w14:textId="77777777" w:rsidR="00194513" w:rsidRPr="009B04E9" w:rsidRDefault="00194513" w:rsidP="00194513">
      <w:pPr>
        <w:pStyle w:val="Telobesedila"/>
        <w:ind w:right="1134"/>
      </w:pPr>
      <w:r w:rsidRPr="009B04E9">
        <w:t>– nova devetnajsta alineja 1. točke 178. člena uredbe;</w:t>
      </w:r>
    </w:p>
    <w:p w14:paraId="49CCA36E" w14:textId="77777777" w:rsidR="00194513" w:rsidRPr="009B04E9" w:rsidRDefault="00194513" w:rsidP="00194513">
      <w:pPr>
        <w:pStyle w:val="Telobesedila"/>
        <w:ind w:right="1134"/>
      </w:pPr>
      <w:r w:rsidRPr="009B04E9">
        <w:t>– novi 239.a člen uredbe.</w:t>
      </w:r>
    </w:p>
    <w:p w14:paraId="4AA6A214" w14:textId="77777777" w:rsidR="00194513" w:rsidRPr="009B04E9" w:rsidRDefault="00194513" w:rsidP="00194513">
      <w:pPr>
        <w:pStyle w:val="Telobesedila"/>
        <w:ind w:right="1134"/>
      </w:pPr>
    </w:p>
    <w:p w14:paraId="75A4C16A" w14:textId="518F132B" w:rsidR="00194513" w:rsidRPr="009B04E9" w:rsidRDefault="00194513" w:rsidP="00194513">
      <w:pPr>
        <w:pStyle w:val="Telobesedila"/>
        <w:ind w:right="1134"/>
      </w:pPr>
      <w:r w:rsidRPr="009B04E9">
        <w:t>26. člen</w:t>
      </w:r>
    </w:p>
    <w:p w14:paraId="4C9CEBC7" w14:textId="119E5505" w:rsidR="00194513" w:rsidRPr="009B04E9" w:rsidRDefault="00194513" w:rsidP="00194513">
      <w:pPr>
        <w:pStyle w:val="Telobesedila"/>
        <w:ind w:right="1134"/>
      </w:pPr>
      <w:r w:rsidRPr="009B04E9">
        <w:t>Sprememba Uredbe začne veljati 8. junija 2024.</w:t>
      </w:r>
    </w:p>
    <w:p w14:paraId="3B0E1D44" w14:textId="77777777" w:rsidR="00194513" w:rsidRPr="002115DF" w:rsidRDefault="00194513" w:rsidP="00194513">
      <w:pPr>
        <w:pStyle w:val="Telobesedila"/>
        <w:ind w:right="1134"/>
      </w:pPr>
    </w:p>
    <w:p w14:paraId="278589BA" w14:textId="77777777" w:rsidR="00194513" w:rsidRPr="009B04E9" w:rsidRDefault="00194513" w:rsidP="00194513">
      <w:pPr>
        <w:pStyle w:val="Telobesedila"/>
        <w:ind w:right="1134"/>
      </w:pPr>
    </w:p>
    <w:p w14:paraId="3389E267" w14:textId="77777777" w:rsidR="00FA3E2B" w:rsidRDefault="00FA3E2B"/>
    <w:sectPr w:rsidR="00FA3E2B" w:rsidSect="00194513">
      <w:pgSz w:w="11900" w:h="16840"/>
      <w:pgMar w:top="1080" w:right="0" w:bottom="280" w:left="1440" w:header="739"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13"/>
    <w:rsid w:val="001272C0"/>
    <w:rsid w:val="00194513"/>
    <w:rsid w:val="001B70DF"/>
    <w:rsid w:val="002B7E7B"/>
    <w:rsid w:val="00333B39"/>
    <w:rsid w:val="003C7998"/>
    <w:rsid w:val="00426ACC"/>
    <w:rsid w:val="00486DB1"/>
    <w:rsid w:val="004918DC"/>
    <w:rsid w:val="004D0E17"/>
    <w:rsid w:val="004D4FA7"/>
    <w:rsid w:val="0055402F"/>
    <w:rsid w:val="005A23DF"/>
    <w:rsid w:val="005E5CF3"/>
    <w:rsid w:val="00664A68"/>
    <w:rsid w:val="006B2AFF"/>
    <w:rsid w:val="006C6484"/>
    <w:rsid w:val="007513E0"/>
    <w:rsid w:val="00777FCB"/>
    <w:rsid w:val="007C5EEC"/>
    <w:rsid w:val="007D729E"/>
    <w:rsid w:val="00A6374E"/>
    <w:rsid w:val="00AA654E"/>
    <w:rsid w:val="00B47101"/>
    <w:rsid w:val="00BD68AD"/>
    <w:rsid w:val="00C17E9E"/>
    <w:rsid w:val="00C71EA6"/>
    <w:rsid w:val="00D6204F"/>
    <w:rsid w:val="00D74818"/>
    <w:rsid w:val="00D97C7C"/>
    <w:rsid w:val="00DD6FB4"/>
    <w:rsid w:val="00E01903"/>
    <w:rsid w:val="00E11F92"/>
    <w:rsid w:val="00EA266D"/>
    <w:rsid w:val="00FA3E2B"/>
    <w:rsid w:val="00FE4B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18A5"/>
  <w15:chartTrackingRefBased/>
  <w15:docId w15:val="{AAD1607A-D7BB-4F23-8F30-B2536E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4513"/>
    <w:pPr>
      <w:widowControl w:val="0"/>
      <w:autoSpaceDE w:val="0"/>
      <w:autoSpaceDN w:val="0"/>
      <w:spacing w:after="0" w:line="240" w:lineRule="auto"/>
    </w:pPr>
    <w:rPr>
      <w:rFonts w:ascii="Cambria" w:eastAsia="Cambria" w:hAnsi="Cambria" w:cs="Cambria"/>
      <w:kern w:val="0"/>
      <w14:ligatures w14:val="none"/>
    </w:rPr>
  </w:style>
  <w:style w:type="paragraph" w:styleId="Naslov1">
    <w:name w:val="heading 1"/>
    <w:basedOn w:val="Navaden"/>
    <w:next w:val="Navaden"/>
    <w:link w:val="Naslov1Znak"/>
    <w:uiPriority w:val="9"/>
    <w:qFormat/>
    <w:rsid w:val="00194513"/>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avaden"/>
    <w:next w:val="Navaden"/>
    <w:link w:val="Naslov2Znak"/>
    <w:uiPriority w:val="9"/>
    <w:semiHidden/>
    <w:unhideWhenUsed/>
    <w:qFormat/>
    <w:rsid w:val="00194513"/>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avaden"/>
    <w:next w:val="Navaden"/>
    <w:link w:val="Naslov3Znak"/>
    <w:uiPriority w:val="9"/>
    <w:semiHidden/>
    <w:unhideWhenUsed/>
    <w:qFormat/>
    <w:rsid w:val="00194513"/>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slov4">
    <w:name w:val="heading 4"/>
    <w:basedOn w:val="Navaden"/>
    <w:next w:val="Navaden"/>
    <w:link w:val="Naslov4Znak"/>
    <w:uiPriority w:val="9"/>
    <w:semiHidden/>
    <w:unhideWhenUsed/>
    <w:qFormat/>
    <w:rsid w:val="00194513"/>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Naslov5">
    <w:name w:val="heading 5"/>
    <w:basedOn w:val="Navaden"/>
    <w:next w:val="Navaden"/>
    <w:link w:val="Naslov5Znak"/>
    <w:uiPriority w:val="9"/>
    <w:semiHidden/>
    <w:unhideWhenUsed/>
    <w:qFormat/>
    <w:rsid w:val="00194513"/>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Naslov6">
    <w:name w:val="heading 6"/>
    <w:basedOn w:val="Navaden"/>
    <w:next w:val="Navaden"/>
    <w:link w:val="Naslov6Znak"/>
    <w:uiPriority w:val="9"/>
    <w:semiHidden/>
    <w:unhideWhenUsed/>
    <w:qFormat/>
    <w:rsid w:val="0019451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slov7">
    <w:name w:val="heading 7"/>
    <w:basedOn w:val="Navaden"/>
    <w:next w:val="Navaden"/>
    <w:link w:val="Naslov7Znak"/>
    <w:uiPriority w:val="9"/>
    <w:semiHidden/>
    <w:unhideWhenUsed/>
    <w:qFormat/>
    <w:rsid w:val="0019451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slov8">
    <w:name w:val="heading 8"/>
    <w:basedOn w:val="Navaden"/>
    <w:next w:val="Navaden"/>
    <w:link w:val="Naslov8Znak"/>
    <w:uiPriority w:val="9"/>
    <w:semiHidden/>
    <w:unhideWhenUsed/>
    <w:qFormat/>
    <w:rsid w:val="0019451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slov9">
    <w:name w:val="heading 9"/>
    <w:basedOn w:val="Navaden"/>
    <w:next w:val="Navaden"/>
    <w:link w:val="Naslov9Znak"/>
    <w:uiPriority w:val="9"/>
    <w:semiHidden/>
    <w:unhideWhenUsed/>
    <w:qFormat/>
    <w:rsid w:val="0019451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9451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9451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9451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9451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9451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9451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9451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9451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94513"/>
    <w:rPr>
      <w:rFonts w:eastAsiaTheme="majorEastAsia" w:cstheme="majorBidi"/>
      <w:color w:val="272727" w:themeColor="text1" w:themeTint="D8"/>
    </w:rPr>
  </w:style>
  <w:style w:type="paragraph" w:styleId="Naslov">
    <w:name w:val="Title"/>
    <w:basedOn w:val="Navaden"/>
    <w:next w:val="Navaden"/>
    <w:link w:val="NaslovZnak"/>
    <w:uiPriority w:val="10"/>
    <w:qFormat/>
    <w:rsid w:val="0019451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Znak">
    <w:name w:val="Naslov Znak"/>
    <w:basedOn w:val="Privzetapisavaodstavka"/>
    <w:link w:val="Naslov"/>
    <w:uiPriority w:val="10"/>
    <w:rsid w:val="0019451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9451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Znak">
    <w:name w:val="Podnaslov Znak"/>
    <w:basedOn w:val="Privzetapisavaodstavka"/>
    <w:link w:val="Podnaslov"/>
    <w:uiPriority w:val="11"/>
    <w:rsid w:val="0019451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9451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Znak">
    <w:name w:val="Citat Znak"/>
    <w:basedOn w:val="Privzetapisavaodstavka"/>
    <w:link w:val="Citat"/>
    <w:uiPriority w:val="29"/>
    <w:rsid w:val="00194513"/>
    <w:rPr>
      <w:i/>
      <w:iCs/>
      <w:color w:val="404040" w:themeColor="text1" w:themeTint="BF"/>
    </w:rPr>
  </w:style>
  <w:style w:type="paragraph" w:styleId="Odstavekseznama">
    <w:name w:val="List Paragraph"/>
    <w:basedOn w:val="Navaden"/>
    <w:uiPriority w:val="34"/>
    <w:qFormat/>
    <w:rsid w:val="00194513"/>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zivenpoudarek">
    <w:name w:val="Intense Emphasis"/>
    <w:basedOn w:val="Privzetapisavaodstavka"/>
    <w:uiPriority w:val="21"/>
    <w:qFormat/>
    <w:rsid w:val="00194513"/>
    <w:rPr>
      <w:i/>
      <w:iCs/>
      <w:color w:val="0F4761" w:themeColor="accent1" w:themeShade="BF"/>
    </w:rPr>
  </w:style>
  <w:style w:type="paragraph" w:styleId="Intenzivencitat">
    <w:name w:val="Intense Quote"/>
    <w:basedOn w:val="Navaden"/>
    <w:next w:val="Navaden"/>
    <w:link w:val="IntenzivencitatZnak"/>
    <w:uiPriority w:val="30"/>
    <w:qFormat/>
    <w:rsid w:val="00194513"/>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zivencitatZnak">
    <w:name w:val="Intenziven citat Znak"/>
    <w:basedOn w:val="Privzetapisavaodstavka"/>
    <w:link w:val="Intenzivencitat"/>
    <w:uiPriority w:val="30"/>
    <w:rsid w:val="00194513"/>
    <w:rPr>
      <w:i/>
      <w:iCs/>
      <w:color w:val="0F4761" w:themeColor="accent1" w:themeShade="BF"/>
    </w:rPr>
  </w:style>
  <w:style w:type="character" w:styleId="Intenzivensklic">
    <w:name w:val="Intense Reference"/>
    <w:basedOn w:val="Privzetapisavaodstavka"/>
    <w:uiPriority w:val="32"/>
    <w:qFormat/>
    <w:rsid w:val="00194513"/>
    <w:rPr>
      <w:b/>
      <w:bCs/>
      <w:smallCaps/>
      <w:color w:val="0F4761" w:themeColor="accent1" w:themeShade="BF"/>
      <w:spacing w:val="5"/>
    </w:rPr>
  </w:style>
  <w:style w:type="paragraph" w:styleId="Telobesedila">
    <w:name w:val="Body Text"/>
    <w:basedOn w:val="Navaden"/>
    <w:link w:val="TelobesedilaZnak"/>
    <w:uiPriority w:val="1"/>
    <w:qFormat/>
    <w:rsid w:val="00194513"/>
  </w:style>
  <w:style w:type="character" w:customStyle="1" w:styleId="TelobesedilaZnak">
    <w:name w:val="Telo besedila Znak"/>
    <w:basedOn w:val="Privzetapisavaodstavka"/>
    <w:link w:val="Telobesedila"/>
    <w:uiPriority w:val="1"/>
    <w:rsid w:val="00194513"/>
    <w:rPr>
      <w:rFonts w:ascii="Cambria" w:eastAsia="Cambria" w:hAnsi="Cambria" w:cs="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073EE0-175F-4B8C-BEEB-13A5386B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2934</Words>
  <Characters>16730</Characters>
  <Application>Microsoft Office Word</Application>
  <DocSecurity>0</DocSecurity>
  <Lines>139</Lines>
  <Paragraphs>39</Paragraphs>
  <ScaleCrop>false</ScaleCrop>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Sokolič</dc:creator>
  <cp:keywords/>
  <dc:description/>
  <cp:lastModifiedBy>Nika Sokolič</cp:lastModifiedBy>
  <cp:revision>34</cp:revision>
  <cp:lastPrinted>2024-06-12T10:38:00Z</cp:lastPrinted>
  <dcterms:created xsi:type="dcterms:W3CDTF">2024-06-12T10:28:00Z</dcterms:created>
  <dcterms:modified xsi:type="dcterms:W3CDTF">2024-06-12T12:07:00Z</dcterms:modified>
</cp:coreProperties>
</file>