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7818" w14:textId="77777777" w:rsidR="009F1A59" w:rsidRDefault="009F1A59" w:rsidP="009F1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KIRURŠKO PODALJŠANJE KLINIČNE KRONE</w:t>
      </w:r>
    </w:p>
    <w:p w14:paraId="39BD1712" w14:textId="77777777" w:rsidR="00502795" w:rsidRPr="00567367" w:rsidRDefault="009C047E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 xml:space="preserve">Temelj za dolgoročni uspeh konservativnega in protetičnega zdravljenja so zdrava obzobna tkiva. Z vidika ohranjanja zdravih obzobnih tkiv, natančnosti izdelave roba preparacije in prenosa stanja v zobotehnični laboratorij je dobrodošlo, da preparacija ne sega v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subgingivalni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predel. Vendar pa je pri nekaterih kliničnih stanjih in/ali estetskih zahtevah utemeljeno preparacijo zaključiti v višini roba dlesni ali nekoliko pod njo. Prav zaredi tega je ključnega pomena znanje anatomije obzobnih tkiv.</w:t>
      </w:r>
    </w:p>
    <w:p w14:paraId="262AEC2D" w14:textId="77777777" w:rsidR="009C047E" w:rsidRPr="00567367" w:rsidRDefault="009C047E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 xml:space="preserve">Osnovna postopka za povečanje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supragingivalnega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dela zoba sta:</w:t>
      </w:r>
    </w:p>
    <w:p w14:paraId="57B33DA2" w14:textId="77777777" w:rsidR="009C047E" w:rsidRPr="009F1A59" w:rsidRDefault="009C047E" w:rsidP="009F1A59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A59">
        <w:rPr>
          <w:rFonts w:ascii="Times New Roman" w:hAnsi="Times New Roman" w:cs="Times New Roman"/>
          <w:sz w:val="24"/>
          <w:szCs w:val="24"/>
        </w:rPr>
        <w:t>gingivektomija</w:t>
      </w:r>
      <w:proofErr w:type="spellEnd"/>
      <w:r w:rsidRPr="009F1A59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9F1A59">
        <w:rPr>
          <w:rFonts w:ascii="Times New Roman" w:hAnsi="Times New Roman" w:cs="Times New Roman"/>
          <w:sz w:val="24"/>
          <w:szCs w:val="24"/>
        </w:rPr>
        <w:t>apikalno</w:t>
      </w:r>
      <w:proofErr w:type="spellEnd"/>
      <w:r w:rsidRPr="009F1A59">
        <w:rPr>
          <w:rFonts w:ascii="Times New Roman" w:hAnsi="Times New Roman" w:cs="Times New Roman"/>
          <w:sz w:val="24"/>
          <w:szCs w:val="24"/>
        </w:rPr>
        <w:t xml:space="preserve"> pomaknjena </w:t>
      </w:r>
      <w:proofErr w:type="spellStart"/>
      <w:r w:rsidRPr="009F1A59">
        <w:rPr>
          <w:rFonts w:ascii="Times New Roman" w:hAnsi="Times New Roman" w:cs="Times New Roman"/>
          <w:sz w:val="24"/>
          <w:szCs w:val="24"/>
        </w:rPr>
        <w:t>dlesnino</w:t>
      </w:r>
      <w:proofErr w:type="spellEnd"/>
      <w:r w:rsidRPr="009F1A59">
        <w:rPr>
          <w:rFonts w:ascii="Times New Roman" w:hAnsi="Times New Roman" w:cs="Times New Roman"/>
          <w:sz w:val="24"/>
          <w:szCs w:val="24"/>
        </w:rPr>
        <w:t>-sluznič</w:t>
      </w:r>
      <w:r w:rsidR="009F1A59">
        <w:rPr>
          <w:rFonts w:ascii="Times New Roman" w:hAnsi="Times New Roman" w:cs="Times New Roman"/>
          <w:sz w:val="24"/>
          <w:szCs w:val="24"/>
        </w:rPr>
        <w:t xml:space="preserve">na krpa z ali brez </w:t>
      </w:r>
      <w:proofErr w:type="spellStart"/>
      <w:r w:rsidR="009F1A59">
        <w:rPr>
          <w:rFonts w:ascii="Times New Roman" w:hAnsi="Times New Roman" w:cs="Times New Roman"/>
          <w:sz w:val="24"/>
          <w:szCs w:val="24"/>
        </w:rPr>
        <w:t>osteotomije</w:t>
      </w:r>
      <w:proofErr w:type="spellEnd"/>
      <w:r w:rsidR="009F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04E0A" w14:textId="77777777" w:rsidR="009C047E" w:rsidRPr="009F1A59" w:rsidRDefault="009C047E" w:rsidP="009F1A59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A59">
        <w:rPr>
          <w:rFonts w:ascii="Times New Roman" w:hAnsi="Times New Roman" w:cs="Times New Roman"/>
          <w:sz w:val="24"/>
          <w:szCs w:val="24"/>
        </w:rPr>
        <w:t xml:space="preserve">ortodontska </w:t>
      </w:r>
      <w:proofErr w:type="spellStart"/>
      <w:r w:rsidRPr="009F1A59">
        <w:rPr>
          <w:rFonts w:ascii="Times New Roman" w:hAnsi="Times New Roman" w:cs="Times New Roman"/>
          <w:sz w:val="24"/>
          <w:szCs w:val="24"/>
        </w:rPr>
        <w:t>ekstruzija</w:t>
      </w:r>
      <w:proofErr w:type="spellEnd"/>
      <w:r w:rsidRPr="009F1A59">
        <w:rPr>
          <w:rFonts w:ascii="Times New Roman" w:hAnsi="Times New Roman" w:cs="Times New Roman"/>
          <w:sz w:val="24"/>
          <w:szCs w:val="24"/>
        </w:rPr>
        <w:t xml:space="preserve"> zoba.</w:t>
      </w:r>
    </w:p>
    <w:p w14:paraId="2DCE9579" w14:textId="77777777" w:rsidR="009C047E" w:rsidRPr="00567367" w:rsidRDefault="009C047E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>Izbiro posega nam narekujejo anatomski pogoji, estetske zahteve, klinično stanje zobne krone in zoba v celoti, predvsem razmerje med dolžinama krone in korenine.</w:t>
      </w:r>
    </w:p>
    <w:p w14:paraId="69491381" w14:textId="77777777" w:rsidR="009C047E" w:rsidRPr="00567367" w:rsidRDefault="009C047E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 xml:space="preserve">Kirurško podaljšanje klinične krone (KPKK) spada med najpogostnejše kirurške posege v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parodontologiji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. Glavne indikacije so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subgingivalna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kariozna lezija, zunanja cervikalna vnetna razjeda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korenine,subgingivalni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zlom zobne krone, spremenjeno pasivno izraščanje zoba (angl.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eruption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) in kratka klinična krona. Nekatera omenjena stanja ne omogočajo zadostne retencije protetičnih nadomestkov. V nekaterih primerih je KPKK kontraindicirana . Pri načrtovanju zdravljenja moramo namreč upoštevati razmerje med dolžinama klinične krone in klinične korenine, saj z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osteotomijo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poslabšamo statiko zoba. Najmanjše še sprejemljivo razmerje dolžin je 1:1. Vedeti moramo, da nižanje roba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kosti nikoli ni omejeno le na predel zdravljenega zoba, temveč lahko poslabša statiko in estetiko tudi v predelu sosednjih zob. Pozorni moramo biti na lego in morebitno prizadetost koreninskega razcepišča, preobsežno kariozno lezijo ali globoko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subgingivalno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segajoč zlom zoba, možnost neustrezne estetike po posegu in nezmožnost vzdrževanja ustrezne higiene v primeru KPKK. Prav zaradi tega so natančna klinična in rentgenska diagnostika ter skrbno načrtovanje ključnega pomena za izbiro najprimernejše vrste posega. Cilj KPKK je ustvariti nov, bolj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apikalno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ležeč pripoj dlesni nad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alveolnim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robom. Za uspeh KPKK je ključna vzpostavitev ustrezne dimenzije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suprakrestalnega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pripoja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(po starem biološke širine) in zagotovitev ustrezne širine prirasle dlesni.</w:t>
      </w:r>
    </w:p>
    <w:p w14:paraId="337E1FD2" w14:textId="77777777" w:rsidR="00FE1B40" w:rsidRPr="00567367" w:rsidRDefault="009C047E" w:rsidP="009C04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Suprakrestalni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pripoj omogočata vezivo in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pripojni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epitelij dlesni. Rob preparacije, segajoč v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predelpripojnih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tkiv, vodi ali do recesije dlesni ali do bakterijskega vnetja dlesni in nastanka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parodontalnega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žepa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zizgubo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kosti. Ustrezna širina prirasle dlesni je izjemnega pomena, saj skupaj z debelino dlesni preprečuje nastanek recesije dlesni. Poleg tega je odsotnost prirasle dlesni povezana s povečanim kazalnikom plaka, kar pogojuje razvoj vnetja. Čeprav se mnenja razlikujejo, naj bi bila minimalna širina prirasle dlesni 2mm. Pred vsakim kirurškim posegom je potrebno izmeriti dimenzijo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suprakrestalnih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pripojnih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tkiv in širino</w:t>
      </w:r>
      <w:r w:rsidR="00FE1B40" w:rsidRPr="00567367">
        <w:rPr>
          <w:rFonts w:ascii="Times New Roman" w:hAnsi="Times New Roman" w:cs="Times New Roman"/>
          <w:sz w:val="24"/>
          <w:szCs w:val="24"/>
        </w:rPr>
        <w:t xml:space="preserve"> </w:t>
      </w:r>
      <w:r w:rsidRPr="00567367">
        <w:rPr>
          <w:rFonts w:ascii="Times New Roman" w:hAnsi="Times New Roman" w:cs="Times New Roman"/>
          <w:sz w:val="24"/>
          <w:szCs w:val="24"/>
        </w:rPr>
        <w:t xml:space="preserve">prirasle dlesni. Meritev izvedemo v lokalni anesteziji s kostnim sondiranjem, pri katerem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parodontalno</w:t>
      </w:r>
      <w:proofErr w:type="spellEnd"/>
      <w:r w:rsidR="00FE1B40" w:rsidRPr="00567367">
        <w:rPr>
          <w:rFonts w:ascii="Times New Roman" w:hAnsi="Times New Roman" w:cs="Times New Roman"/>
          <w:sz w:val="24"/>
          <w:szCs w:val="24"/>
        </w:rPr>
        <w:t xml:space="preserve"> </w:t>
      </w:r>
      <w:r w:rsidRPr="00567367">
        <w:rPr>
          <w:rFonts w:ascii="Times New Roman" w:hAnsi="Times New Roman" w:cs="Times New Roman"/>
          <w:sz w:val="24"/>
          <w:szCs w:val="24"/>
        </w:rPr>
        <w:t xml:space="preserve">sondo uvedemo skozi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dlesnin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žleb in vezivo dlesni do stika z robom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kosti.</w:t>
      </w:r>
      <w:r w:rsidR="00FE1B40" w:rsidRPr="00567367">
        <w:rPr>
          <w:rFonts w:ascii="Times New Roman" w:hAnsi="Times New Roman" w:cs="Times New Roman"/>
          <w:sz w:val="24"/>
          <w:szCs w:val="24"/>
        </w:rPr>
        <w:t xml:space="preserve"> </w:t>
      </w:r>
      <w:r w:rsidRPr="00567367">
        <w:rPr>
          <w:rFonts w:ascii="Times New Roman" w:hAnsi="Times New Roman" w:cs="Times New Roman"/>
          <w:sz w:val="24"/>
          <w:szCs w:val="24"/>
        </w:rPr>
        <w:t>S KPKK moramo doseči, da je ustrezen del zoba nad nivojem dlesni, kar omogoči učinek obroča (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angl.ferrule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). Raziskave kažejo, da je po obnovi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endodontsko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r w:rsidRPr="00567367">
        <w:rPr>
          <w:rFonts w:ascii="Times New Roman" w:hAnsi="Times New Roman" w:cs="Times New Roman"/>
          <w:sz w:val="24"/>
          <w:szCs w:val="24"/>
        </w:rPr>
        <w:lastRenderedPageBreak/>
        <w:t xml:space="preserve">zdravljenih zob s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supragingivalnim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delom,visokim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1,5−2 mm, pogostost zlomov statistično značilno manjša kot pri zobeh brez ohranjene klinične</w:t>
      </w:r>
      <w:r w:rsidR="00FE1B40" w:rsidRPr="00567367">
        <w:rPr>
          <w:rFonts w:ascii="Times New Roman" w:hAnsi="Times New Roman" w:cs="Times New Roman"/>
          <w:sz w:val="24"/>
          <w:szCs w:val="24"/>
        </w:rPr>
        <w:t xml:space="preserve"> </w:t>
      </w:r>
      <w:r w:rsidRPr="00567367">
        <w:rPr>
          <w:rFonts w:ascii="Times New Roman" w:hAnsi="Times New Roman" w:cs="Times New Roman"/>
          <w:sz w:val="24"/>
          <w:szCs w:val="24"/>
        </w:rPr>
        <w:t>krone</w:t>
      </w:r>
      <w:r w:rsidR="00FE1B40" w:rsidRPr="00567367">
        <w:rPr>
          <w:rFonts w:ascii="Times New Roman" w:hAnsi="Times New Roman" w:cs="Times New Roman"/>
          <w:sz w:val="24"/>
          <w:szCs w:val="24"/>
        </w:rPr>
        <w:t>.</w:t>
      </w:r>
    </w:p>
    <w:p w14:paraId="08977A9B" w14:textId="77777777" w:rsidR="00FE1B40" w:rsidRPr="00567367" w:rsidRDefault="009C047E" w:rsidP="009C04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br/>
      </w:r>
      <w:r w:rsidR="00567367" w:rsidRPr="00567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KIRURŠKI POSTOPKI PRI </w:t>
      </w:r>
      <w:r w:rsidR="00FE1B40" w:rsidRPr="00567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KPKK: </w:t>
      </w:r>
    </w:p>
    <w:p w14:paraId="36475271" w14:textId="77777777" w:rsidR="009F1A59" w:rsidRPr="009F1A59" w:rsidRDefault="00FE1B40" w:rsidP="009F1A59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KKPK brez </w:t>
      </w:r>
      <w:proofErr w:type="spellStart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>osteotomije</w:t>
      </w:r>
      <w:proofErr w:type="spellEnd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ki vključuje </w:t>
      </w:r>
      <w:proofErr w:type="spellStart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>gingivektomijo</w:t>
      </w:r>
      <w:proofErr w:type="spellEnd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>apikalno</w:t>
      </w:r>
      <w:proofErr w:type="spellEnd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pomaknjeno </w:t>
      </w:r>
      <w:proofErr w:type="spellStart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>dlesnino</w:t>
      </w:r>
      <w:proofErr w:type="spellEnd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>-sluznična krpa</w:t>
      </w:r>
    </w:p>
    <w:p w14:paraId="6932937D" w14:textId="77777777" w:rsidR="00FE1B40" w:rsidRPr="009F1A59" w:rsidRDefault="00FE1B40" w:rsidP="009F1A59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KKPK z </w:t>
      </w:r>
      <w:proofErr w:type="spellStart"/>
      <w:r w:rsidRPr="009F1A59">
        <w:rPr>
          <w:rFonts w:ascii="Times New Roman" w:hAnsi="Times New Roman" w:cs="Times New Roman"/>
          <w:sz w:val="24"/>
          <w:szCs w:val="24"/>
          <w:shd w:val="clear" w:color="auto" w:fill="FFFFFF"/>
        </w:rPr>
        <w:t>osteotomijo</w:t>
      </w:r>
      <w:proofErr w:type="spellEnd"/>
    </w:p>
    <w:p w14:paraId="54510577" w14:textId="77777777" w:rsidR="00FE1B40" w:rsidRPr="00567367" w:rsidRDefault="00FE1B40" w:rsidP="009C04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367">
        <w:rPr>
          <w:rFonts w:ascii="Times New Roman" w:hAnsi="Times New Roman" w:cs="Times New Roman"/>
          <w:sz w:val="24"/>
          <w:szCs w:val="24"/>
        </w:rPr>
        <w:t>Gingivektomija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:  je indicirana v primerih, ko sta globina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dlesninega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žleba in širina prirasle dlesni ustrezni, saj v tem primeru s posegom ohranimo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suprakrestalna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pripojna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tkiva. Oblika reza je odvisna od količine tkiva, ki ga moramo odstraniti s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kiretami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. Pri hiperplaziji dlesni je ključna odstranitev vzročnega dejavnika po posegu, da preprečimo recidiv. Namesto skalpela lahko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gingivektomijo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izvedemo z različnimi vrstami laserjev (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Nd:YAG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, CO2,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Er:YAG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radiofrekvenčnim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kirurškim nožem ali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elektrokavterjem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. Zavedati se moramo, da je pri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medikamentozno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ali sistemsko pogojeni hiperplaziji dlesni recidiv pogost.</w:t>
      </w:r>
    </w:p>
    <w:p w14:paraId="434B8504" w14:textId="77777777" w:rsidR="00FE1B40" w:rsidRPr="00567367" w:rsidRDefault="00FE1B40" w:rsidP="009C04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Apikalno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pomaknjena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dlesnino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-sluznična krpa je indicirana v primerih, ko je rob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kosti dovolj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apikalno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, vendar je pas prirasle dlesni ozek. S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sulkularnim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rezom omogočimo premik dlesni in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alveolne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sluznice v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apikalno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smer, nato jih v novem (bolj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apikalnem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) položaju prišijemo na pokostnico. Poznamo več različic tega posega. </w:t>
      </w:r>
    </w:p>
    <w:p w14:paraId="433ABBAD" w14:textId="77777777" w:rsidR="00FE1B40" w:rsidRPr="00567367" w:rsidRDefault="00FE1B40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 xml:space="preserve">Kirurško podaljšanje klinične krone z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osteotomijo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je indicirano v primerih, ko bi s prej omenjenima posegoma poslabšali zdravje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suprakrestalnih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pripojnih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tkiv ali celo izpostavili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alveolno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kost. Zato je potrebno po enem izmed prej opisanih postopkov narediti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osteotomijo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, da pridobimo prostor za pripoj </w:t>
      </w:r>
      <w:proofErr w:type="spellStart"/>
      <w:r w:rsidRPr="00567367">
        <w:rPr>
          <w:rFonts w:ascii="Times New Roman" w:hAnsi="Times New Roman" w:cs="Times New Roman"/>
          <w:sz w:val="24"/>
          <w:szCs w:val="24"/>
        </w:rPr>
        <w:t>suprakrestalnih</w:t>
      </w:r>
      <w:proofErr w:type="spellEnd"/>
      <w:r w:rsidRPr="00567367">
        <w:rPr>
          <w:rFonts w:ascii="Times New Roman" w:hAnsi="Times New Roman" w:cs="Times New Roman"/>
          <w:sz w:val="24"/>
          <w:szCs w:val="24"/>
        </w:rPr>
        <w:t xml:space="preserve"> tkiv.</w:t>
      </w:r>
    </w:p>
    <w:p w14:paraId="3F3EB1CA" w14:textId="77777777" w:rsidR="00FE1B40" w:rsidRPr="00567367" w:rsidRDefault="00FE1B40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>OSKRBA ZOBA PO KPKK</w:t>
      </w:r>
    </w:p>
    <w:p w14:paraId="63377955" w14:textId="77777777" w:rsidR="00FE1B40" w:rsidRPr="00567367" w:rsidRDefault="00FE1B40" w:rsidP="009C047E">
      <w:pPr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>Priporočila za preparacijo, izdelavo plombe ali začasne prevleke:</w:t>
      </w:r>
    </w:p>
    <w:p w14:paraId="6236A1BF" w14:textId="77777777" w:rsidR="00FE1B40" w:rsidRPr="009F1A59" w:rsidRDefault="009F1A59" w:rsidP="009F1A59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A59">
        <w:rPr>
          <w:rFonts w:ascii="Times New Roman" w:hAnsi="Times New Roman" w:cs="Times New Roman"/>
          <w:sz w:val="24"/>
          <w:szCs w:val="24"/>
        </w:rPr>
        <w:t>v</w:t>
      </w:r>
      <w:r w:rsidR="00FE1B40" w:rsidRPr="009F1A59">
        <w:rPr>
          <w:rFonts w:ascii="Times New Roman" w:hAnsi="Times New Roman" w:cs="Times New Roman"/>
          <w:sz w:val="24"/>
          <w:szCs w:val="24"/>
        </w:rPr>
        <w:t xml:space="preserve"> času posega (kadar lahko zagotovimo ustrezno osušitev za izdelavo plombe, navadno ob uporabi laserjev)</w:t>
      </w:r>
    </w:p>
    <w:p w14:paraId="64E7FD7E" w14:textId="77777777" w:rsidR="00FE1B40" w:rsidRPr="009F1A59" w:rsidRDefault="00FE1B40" w:rsidP="009F1A59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A59">
        <w:rPr>
          <w:rFonts w:ascii="Times New Roman" w:hAnsi="Times New Roman" w:cs="Times New Roman"/>
          <w:sz w:val="24"/>
          <w:szCs w:val="24"/>
        </w:rPr>
        <w:t>2−3 tedne po posegu (v vidnem predelu zobovja, kadar nameravamo z začasnimi protetičnimi nadomestki izoblikovati dlesen in medzobne papile)</w:t>
      </w:r>
    </w:p>
    <w:p w14:paraId="32F4B433" w14:textId="77777777" w:rsidR="00FE1B40" w:rsidRPr="009F1A59" w:rsidRDefault="00FE1B40" w:rsidP="009F1A59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A59">
        <w:rPr>
          <w:rFonts w:ascii="Times New Roman" w:hAnsi="Times New Roman" w:cs="Times New Roman"/>
          <w:sz w:val="24"/>
          <w:szCs w:val="24"/>
        </w:rPr>
        <w:t>2−3 mesece po posegu (v tem času so mehka tkiva že dokončno formirana in so nadaljnje spremembe minimalne)</w:t>
      </w:r>
    </w:p>
    <w:p w14:paraId="70B1D1CE" w14:textId="77777777" w:rsidR="00FE1B40" w:rsidRPr="009F1A59" w:rsidRDefault="00FE1B40" w:rsidP="009F1A59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A59">
        <w:rPr>
          <w:rFonts w:ascii="Times New Roman" w:hAnsi="Times New Roman" w:cs="Times New Roman"/>
          <w:sz w:val="24"/>
          <w:szCs w:val="24"/>
        </w:rPr>
        <w:t>6 ali več mesecev po posegu (zaključeno je tudi preoblikovanje kosti, tkivnih sprememb ni več pričakovati)</w:t>
      </w:r>
    </w:p>
    <w:p w14:paraId="70CABE66" w14:textId="77777777" w:rsidR="00567367" w:rsidRPr="00567367" w:rsidRDefault="00567367" w:rsidP="00567367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7367">
        <w:rPr>
          <w:rFonts w:ascii="Times New Roman" w:hAnsi="Times New Roman" w:cs="Times New Roman"/>
          <w:sz w:val="24"/>
          <w:szCs w:val="24"/>
        </w:rPr>
        <w:t>NAMEN DELAVNICE je, da udeleženci:</w:t>
      </w:r>
      <w:r w:rsidRPr="00567367">
        <w:rPr>
          <w:rFonts w:ascii="Times New Roman" w:hAnsi="Times New Roman" w:cs="Times New Roman"/>
          <w:sz w:val="24"/>
          <w:szCs w:val="24"/>
        </w:rPr>
        <w:tab/>
      </w:r>
    </w:p>
    <w:p w14:paraId="2CF744EB" w14:textId="77777777" w:rsidR="00567367" w:rsidRPr="00567367" w:rsidRDefault="00567367" w:rsidP="00567367">
      <w:pPr>
        <w:pStyle w:val="Navadensplet"/>
        <w:numPr>
          <w:ilvl w:val="0"/>
          <w:numId w:val="3"/>
        </w:numPr>
      </w:pPr>
      <w:r>
        <w:t>r</w:t>
      </w:r>
      <w:r w:rsidRPr="00567367">
        <w:t xml:space="preserve">azumejo </w:t>
      </w:r>
      <w:proofErr w:type="spellStart"/>
      <w:r w:rsidRPr="00567367">
        <w:t>suprakrestalni</w:t>
      </w:r>
      <w:proofErr w:type="spellEnd"/>
      <w:r w:rsidRPr="00567367">
        <w:t xml:space="preserve"> tkivni pripoj  </w:t>
      </w:r>
      <w:r w:rsidRPr="00567367">
        <w:rPr>
          <w:b/>
        </w:rPr>
        <w:t>(</w:t>
      </w:r>
      <w:r w:rsidRPr="00567367">
        <w:rPr>
          <w:rStyle w:val="Krepko"/>
          <w:b w:val="0"/>
        </w:rPr>
        <w:t>biološko širino</w:t>
      </w:r>
      <w:r w:rsidRPr="00567367">
        <w:rPr>
          <w:rStyle w:val="Krepko"/>
        </w:rPr>
        <w:t xml:space="preserve">) </w:t>
      </w:r>
      <w:r w:rsidRPr="00567367">
        <w:t>njen klinični pomen</w:t>
      </w:r>
    </w:p>
    <w:p w14:paraId="251BBA93" w14:textId="77777777" w:rsidR="00567367" w:rsidRPr="00567367" w:rsidRDefault="00567367" w:rsidP="00567367">
      <w:pPr>
        <w:pStyle w:val="Navadensplet"/>
        <w:numPr>
          <w:ilvl w:val="0"/>
          <w:numId w:val="3"/>
        </w:numPr>
      </w:pPr>
      <w:r w:rsidRPr="00567367">
        <w:t xml:space="preserve">pravilno </w:t>
      </w:r>
      <w:r w:rsidRPr="00567367">
        <w:rPr>
          <w:rStyle w:val="Krepko"/>
          <w:b w:val="0"/>
        </w:rPr>
        <w:t>diagnosticirajo indikacije</w:t>
      </w:r>
      <w:r w:rsidRPr="00567367">
        <w:rPr>
          <w:b/>
        </w:rPr>
        <w:t xml:space="preserve"> </w:t>
      </w:r>
      <w:r w:rsidRPr="00567367">
        <w:t>za poseg</w:t>
      </w:r>
    </w:p>
    <w:p w14:paraId="33D14CA8" w14:textId="77777777" w:rsidR="00567367" w:rsidRPr="00567367" w:rsidRDefault="00567367" w:rsidP="00567367">
      <w:pPr>
        <w:pStyle w:val="Navadensplet"/>
        <w:numPr>
          <w:ilvl w:val="0"/>
          <w:numId w:val="3"/>
        </w:numPr>
      </w:pPr>
      <w:r w:rsidRPr="00567367">
        <w:t xml:space="preserve">obvladajo </w:t>
      </w:r>
      <w:r w:rsidRPr="00567367">
        <w:rPr>
          <w:rStyle w:val="Krepko"/>
          <w:b w:val="0"/>
        </w:rPr>
        <w:t>kirurško tehniko</w:t>
      </w:r>
      <w:r w:rsidRPr="00567367">
        <w:t xml:space="preserve"> (mehko-tkivno in/ali kostno korekcijo)</w:t>
      </w:r>
    </w:p>
    <w:p w14:paraId="7F7685CB" w14:textId="77777777" w:rsidR="00567367" w:rsidRPr="009F1A59" w:rsidRDefault="00567367" w:rsidP="00567367">
      <w:pPr>
        <w:pStyle w:val="Navadensplet"/>
        <w:numPr>
          <w:ilvl w:val="0"/>
          <w:numId w:val="3"/>
        </w:numPr>
        <w:rPr>
          <w:rStyle w:val="Krepko"/>
          <w:b w:val="0"/>
          <w:bCs w:val="0"/>
        </w:rPr>
      </w:pPr>
      <w:r w:rsidRPr="00567367">
        <w:t xml:space="preserve">znajo poseg vključiti v </w:t>
      </w:r>
      <w:r w:rsidRPr="00567367">
        <w:rPr>
          <w:rStyle w:val="Krepko"/>
          <w:b w:val="0"/>
        </w:rPr>
        <w:t>protetični ali estetski načrt zdravljenja.</w:t>
      </w:r>
    </w:p>
    <w:p w14:paraId="00F7C8DE" w14:textId="77777777" w:rsidR="009F1A59" w:rsidRDefault="009F1A59" w:rsidP="009F1A59">
      <w:pPr>
        <w:pStyle w:val="Navadensplet"/>
        <w:rPr>
          <w:rStyle w:val="Krepko"/>
          <w:b w:val="0"/>
        </w:rPr>
      </w:pPr>
      <w:r>
        <w:rPr>
          <w:rStyle w:val="Krepko"/>
          <w:b w:val="0"/>
        </w:rPr>
        <w:lastRenderedPageBreak/>
        <w:t>CILJI DELAVNICE SO:</w:t>
      </w:r>
    </w:p>
    <w:p w14:paraId="3CE19389" w14:textId="77777777" w:rsidR="009F1A59" w:rsidRPr="009F1A59" w:rsidRDefault="009F1A59" w:rsidP="009F1A59">
      <w:pPr>
        <w:pStyle w:val="Navadensplet"/>
        <w:numPr>
          <w:ilvl w:val="0"/>
          <w:numId w:val="7"/>
        </w:numPr>
        <w:rPr>
          <w:rStyle w:val="Krepko"/>
          <w:b w:val="0"/>
          <w:bCs w:val="0"/>
        </w:rPr>
      </w:pPr>
      <w:r>
        <w:rPr>
          <w:rStyle w:val="Krepko"/>
          <w:b w:val="0"/>
        </w:rPr>
        <w:t>postaviti pravilno indikacijo</w:t>
      </w:r>
    </w:p>
    <w:p w14:paraId="34E5D307" w14:textId="77777777" w:rsidR="009F1A59" w:rsidRPr="009F1A59" w:rsidRDefault="009F1A59" w:rsidP="009F1A59">
      <w:pPr>
        <w:pStyle w:val="Navadensplet"/>
        <w:numPr>
          <w:ilvl w:val="0"/>
          <w:numId w:val="7"/>
        </w:numPr>
        <w:rPr>
          <w:rStyle w:val="Krepko"/>
          <w:b w:val="0"/>
          <w:bCs w:val="0"/>
        </w:rPr>
      </w:pPr>
      <w:r>
        <w:rPr>
          <w:rStyle w:val="Krepko"/>
          <w:b w:val="0"/>
        </w:rPr>
        <w:t>narediti pravilno klinično načrtovanje</w:t>
      </w:r>
    </w:p>
    <w:p w14:paraId="6FDD73D4" w14:textId="77777777" w:rsidR="009F1A59" w:rsidRPr="009F1A59" w:rsidRDefault="009F1A59" w:rsidP="009F1A59">
      <w:pPr>
        <w:pStyle w:val="Navadensplet"/>
        <w:numPr>
          <w:ilvl w:val="0"/>
          <w:numId w:val="7"/>
        </w:numPr>
        <w:rPr>
          <w:rStyle w:val="Krepko"/>
          <w:b w:val="0"/>
          <w:bCs w:val="0"/>
        </w:rPr>
      </w:pPr>
      <w:r>
        <w:rPr>
          <w:rStyle w:val="Krepko"/>
          <w:b w:val="0"/>
        </w:rPr>
        <w:t>izvesti kirurški postopek</w:t>
      </w:r>
    </w:p>
    <w:p w14:paraId="1DB18660" w14:textId="77777777" w:rsidR="009F1A59" w:rsidRPr="00567367" w:rsidRDefault="009F1A59" w:rsidP="009F1A59">
      <w:pPr>
        <w:pStyle w:val="Navadensplet"/>
        <w:numPr>
          <w:ilvl w:val="0"/>
          <w:numId w:val="7"/>
        </w:numPr>
      </w:pPr>
      <w:r>
        <w:rPr>
          <w:rStyle w:val="Krepko"/>
          <w:b w:val="0"/>
        </w:rPr>
        <w:t>razumeti zaplete in omejitve.</w:t>
      </w:r>
    </w:p>
    <w:p w14:paraId="3E7CDC2E" w14:textId="77777777" w:rsidR="00567367" w:rsidRDefault="00567367" w:rsidP="009C047E">
      <w:pPr>
        <w:jc w:val="both"/>
        <w:rPr>
          <w:rFonts w:ascii="Arial" w:hAnsi="Arial" w:cs="Arial"/>
          <w:sz w:val="20"/>
          <w:szCs w:val="20"/>
        </w:rPr>
      </w:pPr>
    </w:p>
    <w:p w14:paraId="5717993E" w14:textId="77777777" w:rsidR="00FE1B40" w:rsidRDefault="00FE1B40" w:rsidP="009C047E">
      <w:pPr>
        <w:jc w:val="both"/>
      </w:pPr>
      <w:r>
        <w:br/>
      </w:r>
    </w:p>
    <w:p w14:paraId="3F5EB2C5" w14:textId="77777777" w:rsidR="009C047E" w:rsidRPr="00FE1B40" w:rsidRDefault="00FE1B40" w:rsidP="009C047E">
      <w:pPr>
        <w:jc w:val="both"/>
        <w:rPr>
          <w:i/>
          <w:iCs/>
        </w:rPr>
      </w:pPr>
      <w:r>
        <w:br/>
      </w:r>
    </w:p>
    <w:p w14:paraId="2EFD01D7" w14:textId="77777777" w:rsidR="009C047E" w:rsidRDefault="009C047E"/>
    <w:sectPr w:rsidR="009C047E" w:rsidSect="0050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93B"/>
    <w:multiLevelType w:val="hybridMultilevel"/>
    <w:tmpl w:val="D6AAD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C1D"/>
    <w:multiLevelType w:val="hybridMultilevel"/>
    <w:tmpl w:val="A8E048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13E5"/>
    <w:multiLevelType w:val="hybridMultilevel"/>
    <w:tmpl w:val="F5C67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20B6A"/>
    <w:multiLevelType w:val="hybridMultilevel"/>
    <w:tmpl w:val="2D2C7E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D0900"/>
    <w:multiLevelType w:val="hybridMultilevel"/>
    <w:tmpl w:val="0972A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143DE"/>
    <w:multiLevelType w:val="multilevel"/>
    <w:tmpl w:val="1234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46B3D"/>
    <w:multiLevelType w:val="hybridMultilevel"/>
    <w:tmpl w:val="D02CB5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15875">
    <w:abstractNumId w:val="5"/>
  </w:num>
  <w:num w:numId="2" w16cid:durableId="227309187">
    <w:abstractNumId w:val="1"/>
  </w:num>
  <w:num w:numId="3" w16cid:durableId="480849462">
    <w:abstractNumId w:val="3"/>
  </w:num>
  <w:num w:numId="4" w16cid:durableId="1786079800">
    <w:abstractNumId w:val="6"/>
  </w:num>
  <w:num w:numId="5" w16cid:durableId="24641591">
    <w:abstractNumId w:val="0"/>
  </w:num>
  <w:num w:numId="6" w16cid:durableId="542985619">
    <w:abstractNumId w:val="4"/>
  </w:num>
  <w:num w:numId="7" w16cid:durableId="87446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7E"/>
    <w:rsid w:val="00090A42"/>
    <w:rsid w:val="00502795"/>
    <w:rsid w:val="00567367"/>
    <w:rsid w:val="009471BE"/>
    <w:rsid w:val="009C047E"/>
    <w:rsid w:val="009F1A59"/>
    <w:rsid w:val="00BA0151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DC56"/>
  <w15:docId w15:val="{FD2705D4-B1F0-4CBD-8ABC-FEA8571B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047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6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67367"/>
    <w:rPr>
      <w:b/>
      <w:bCs/>
    </w:rPr>
  </w:style>
  <w:style w:type="paragraph" w:styleId="Odstavekseznama">
    <w:name w:val="List Paragraph"/>
    <w:basedOn w:val="Navaden"/>
    <w:uiPriority w:val="34"/>
    <w:qFormat/>
    <w:rsid w:val="0056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43EB199B4044A846250F0B4843DF6" ma:contentTypeVersion="18" ma:contentTypeDescription="Ustvari nov dokument." ma:contentTypeScope="" ma:versionID="9ce2a376d82a6db1d54113498c428e2d">
  <xsd:schema xmlns:xsd="http://www.w3.org/2001/XMLSchema" xmlns:xs="http://www.w3.org/2001/XMLSchema" xmlns:p="http://schemas.microsoft.com/office/2006/metadata/properties" xmlns:ns2="0a770670-6bfd-457e-9440-cb9a2ea446cb" xmlns:ns3="a0dd267e-fb2e-41b6-bd3c-185a144de0ae" targetNamespace="http://schemas.microsoft.com/office/2006/metadata/properties" ma:root="true" ma:fieldsID="1f3bb2285203f8edee4572f42e7b8c59" ns2:_="" ns3:_="">
    <xsd:import namespace="0a770670-6bfd-457e-9440-cb9a2ea446cb"/>
    <xsd:import namespace="a0dd267e-fb2e-41b6-bd3c-185a144de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70670-6bfd-457e-9440-cb9a2ea44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60653609-4b9c-4d46-a784-38eed82a2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d267e-fb2e-41b6-bd3c-185a144de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a24ef9-11a5-4c13-bc27-e09b8c8cdd8e}" ma:internalName="TaxCatchAll" ma:showField="CatchAllData" ma:web="a0dd267e-fb2e-41b6-bd3c-185a144de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70670-6bfd-457e-9440-cb9a2ea446cb">
      <Terms xmlns="http://schemas.microsoft.com/office/infopath/2007/PartnerControls"/>
    </lcf76f155ced4ddcb4097134ff3c332f>
    <TaxCatchAll xmlns="a0dd267e-fb2e-41b6-bd3c-185a144de0ae" xsi:nil="true"/>
  </documentManagement>
</p:properties>
</file>

<file path=customXml/itemProps1.xml><?xml version="1.0" encoding="utf-8"?>
<ds:datastoreItem xmlns:ds="http://schemas.openxmlformats.org/officeDocument/2006/customXml" ds:itemID="{E2569744-3685-42EE-AE07-44517D92F438}"/>
</file>

<file path=customXml/itemProps2.xml><?xml version="1.0" encoding="utf-8"?>
<ds:datastoreItem xmlns:ds="http://schemas.openxmlformats.org/officeDocument/2006/customXml" ds:itemID="{619C6F57-7E11-466F-866E-D997F1A26CBC}"/>
</file>

<file path=customXml/itemProps3.xml><?xml version="1.0" encoding="utf-8"?>
<ds:datastoreItem xmlns:ds="http://schemas.openxmlformats.org/officeDocument/2006/customXml" ds:itemID="{C61B46C9-3BE0-41DD-B1F7-346628BF4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urban.matoh Matoh</dc:creator>
  <cp:lastModifiedBy>Mojca Vrečar</cp:lastModifiedBy>
  <cp:revision>2</cp:revision>
  <dcterms:created xsi:type="dcterms:W3CDTF">2026-03-11T17:17:00Z</dcterms:created>
  <dcterms:modified xsi:type="dcterms:W3CDTF">2026-03-11T17:17:00Z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0x010100F7D43EB199B4044A846250F0B4843DF6</vt:lpwstr>
  </property>
</Properties>
</file>